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D472EF" w14:textId="77777777" w:rsidR="00900692" w:rsidRPr="00FB7651" w:rsidRDefault="00900692" w:rsidP="00BB409E">
      <w:pPr>
        <w:jc w:val="center"/>
        <w:rPr>
          <w:rFonts w:ascii="Arial Narrow" w:hAnsi="Arial Narrow"/>
          <w:b/>
          <w:bCs/>
          <w:sz w:val="20"/>
          <w:szCs w:val="20"/>
        </w:rPr>
      </w:pPr>
    </w:p>
    <w:p w14:paraId="25D472F0" w14:textId="77777777" w:rsidR="00900692" w:rsidRPr="00FB7651" w:rsidRDefault="00361057" w:rsidP="00BB409E">
      <w:pPr>
        <w:pStyle w:val="Cuadrculamedia1-nfasis21"/>
        <w:numPr>
          <w:ilvl w:val="0"/>
          <w:numId w:val="1"/>
        </w:numPr>
        <w:tabs>
          <w:tab w:val="left" w:pos="426"/>
        </w:tabs>
        <w:spacing w:after="0" w:line="240" w:lineRule="auto"/>
        <w:ind w:left="426" w:right="49" w:hanging="426"/>
        <w:jc w:val="both"/>
        <w:rPr>
          <w:rFonts w:ascii="Arial Narrow" w:hAnsi="Arial Narrow"/>
          <w:sz w:val="20"/>
          <w:szCs w:val="20"/>
          <w:u w:val="single"/>
        </w:rPr>
      </w:pPr>
      <w:r w:rsidRPr="0094553C">
        <w:rPr>
          <w:rFonts w:ascii="Arial Narrow" w:hAnsi="Arial Narrow" w:cs="Calibri"/>
          <w:b/>
          <w:sz w:val="20"/>
          <w:szCs w:val="20"/>
          <w:u w:val="single"/>
        </w:rPr>
        <w:t xml:space="preserve">Título de la Iniciativa. </w:t>
      </w:r>
    </w:p>
    <w:p w14:paraId="25D472F1" w14:textId="77777777" w:rsidR="00900692" w:rsidRPr="00D467D5" w:rsidRDefault="00900692" w:rsidP="00BB409E">
      <w:pPr>
        <w:pStyle w:val="Cuadrculamedia1-nfasis21"/>
        <w:tabs>
          <w:tab w:val="left" w:pos="426"/>
        </w:tabs>
        <w:spacing w:after="0" w:line="240" w:lineRule="auto"/>
        <w:ind w:left="0" w:right="49"/>
        <w:jc w:val="both"/>
        <w:rPr>
          <w:rFonts w:ascii="Arial Narrow" w:hAnsi="Arial Narrow" w:cs="Calibri"/>
          <w:b/>
          <w:i/>
          <w:sz w:val="20"/>
          <w:szCs w:val="20"/>
        </w:rPr>
      </w:pPr>
    </w:p>
    <w:p w14:paraId="25D472F2" w14:textId="7C3DD478" w:rsidR="00900692" w:rsidRPr="0094553C" w:rsidRDefault="00361057" w:rsidP="00BB409E">
      <w:pPr>
        <w:pStyle w:val="CUERPOTEXTO"/>
        <w:suppressAutoHyphens/>
        <w:ind w:left="426" w:right="49" w:firstLine="0"/>
        <w:rPr>
          <w:rFonts w:ascii="Arial Narrow" w:hAnsi="Arial Narrow"/>
          <w:sz w:val="20"/>
          <w:szCs w:val="20"/>
          <w:lang w:val="es-ES_tradnl"/>
        </w:rPr>
      </w:pPr>
      <w:r w:rsidRPr="0094553C">
        <w:rPr>
          <w:rFonts w:ascii="Arial Narrow" w:eastAsia="Calibri" w:hAnsi="Arial Narrow" w:cs="Calibri"/>
          <w:i/>
          <w:color w:val="auto"/>
          <w:sz w:val="20"/>
          <w:szCs w:val="20"/>
          <w:lang w:val="es-ES_tradnl" w:eastAsia="en-US"/>
        </w:rPr>
        <w:t xml:space="preserve"> “</w:t>
      </w:r>
      <w:r w:rsidR="00166578" w:rsidRPr="0094553C">
        <w:rPr>
          <w:rFonts w:ascii="Arial Narrow" w:eastAsia="Calibri" w:hAnsi="Arial Narrow" w:cs="Calibri"/>
          <w:i/>
          <w:color w:val="auto"/>
          <w:sz w:val="20"/>
          <w:szCs w:val="20"/>
          <w:lang w:val="es-ES_tradnl" w:eastAsia="en-US"/>
        </w:rPr>
        <w:t>Por la cual se modifica parcialmente la Resolución No. 1099 del 22 de diciembre de 2023, respecto al ámbito de aplicación del procedimiento de Audiencia Pública Minera para el otorgamiento de títulos mineros</w:t>
      </w:r>
      <w:r w:rsidRPr="0094553C">
        <w:rPr>
          <w:rFonts w:ascii="Arial Narrow" w:eastAsia="Calibri" w:hAnsi="Arial Narrow" w:cs="Calibri"/>
          <w:i/>
          <w:color w:val="auto"/>
          <w:sz w:val="20"/>
          <w:szCs w:val="20"/>
          <w:lang w:val="es-ES_tradnl" w:eastAsia="en-US"/>
        </w:rPr>
        <w:t>”.</w:t>
      </w:r>
    </w:p>
    <w:p w14:paraId="25D472F3" w14:textId="77777777" w:rsidR="00900692" w:rsidRPr="0094553C" w:rsidRDefault="00900692" w:rsidP="00BB409E">
      <w:pPr>
        <w:pStyle w:val="CUERPOTEXTO"/>
        <w:suppressAutoHyphens/>
        <w:spacing w:before="0" w:after="0" w:line="240" w:lineRule="auto"/>
        <w:ind w:left="426" w:right="49" w:firstLine="0"/>
        <w:rPr>
          <w:rFonts w:ascii="Arial Narrow" w:hAnsi="Arial Narrow" w:cs="Calibri"/>
          <w:b/>
          <w:color w:val="auto"/>
          <w:sz w:val="20"/>
          <w:szCs w:val="20"/>
          <w:lang w:val="es-ES_tradnl"/>
        </w:rPr>
      </w:pPr>
    </w:p>
    <w:p w14:paraId="130ADBEB" w14:textId="77777777" w:rsidR="00AB3C50" w:rsidRPr="0094553C" w:rsidRDefault="00AB3C50" w:rsidP="00BB409E">
      <w:pPr>
        <w:pStyle w:val="CUERPOTEXTO"/>
        <w:suppressAutoHyphens/>
        <w:spacing w:before="0" w:after="0" w:line="240" w:lineRule="auto"/>
        <w:ind w:left="426" w:right="49" w:firstLine="0"/>
        <w:rPr>
          <w:rFonts w:ascii="Arial Narrow" w:hAnsi="Arial Narrow" w:cs="Calibri"/>
          <w:b/>
          <w:color w:val="auto"/>
          <w:sz w:val="20"/>
          <w:szCs w:val="20"/>
          <w:lang w:val="es-ES_tradnl"/>
        </w:rPr>
      </w:pPr>
    </w:p>
    <w:p w14:paraId="25D472F4" w14:textId="77777777" w:rsidR="00900692" w:rsidRPr="0094553C" w:rsidRDefault="00361057" w:rsidP="00BB409E">
      <w:pPr>
        <w:pStyle w:val="Cuadrculamedia1-nfasis21"/>
        <w:numPr>
          <w:ilvl w:val="0"/>
          <w:numId w:val="1"/>
        </w:numPr>
        <w:tabs>
          <w:tab w:val="left" w:pos="426"/>
        </w:tabs>
        <w:spacing w:after="0" w:line="240" w:lineRule="auto"/>
        <w:ind w:left="426" w:right="49" w:hanging="426"/>
        <w:rPr>
          <w:rFonts w:ascii="Arial Narrow" w:hAnsi="Arial Narrow" w:cs="Calibri"/>
          <w:b/>
          <w:sz w:val="20"/>
          <w:szCs w:val="20"/>
          <w:u w:val="single"/>
        </w:rPr>
      </w:pPr>
      <w:r w:rsidRPr="0094553C">
        <w:rPr>
          <w:rFonts w:ascii="Arial Narrow" w:hAnsi="Arial Narrow" w:cs="Calibri"/>
          <w:b/>
          <w:sz w:val="20"/>
          <w:szCs w:val="20"/>
          <w:u w:val="single"/>
        </w:rPr>
        <w:t>Tipo de Norma.</w:t>
      </w:r>
    </w:p>
    <w:p w14:paraId="25D472F5" w14:textId="77777777" w:rsidR="00900692" w:rsidRPr="0094553C" w:rsidRDefault="00900692" w:rsidP="00BB409E">
      <w:pPr>
        <w:ind w:right="49"/>
        <w:rPr>
          <w:rFonts w:ascii="Arial Narrow" w:hAnsi="Arial Narrow" w:cs="Calibri"/>
          <w:sz w:val="20"/>
          <w:szCs w:val="20"/>
        </w:rPr>
      </w:pPr>
    </w:p>
    <w:p w14:paraId="25D472F6" w14:textId="77777777" w:rsidR="00900692" w:rsidRPr="00FB7651" w:rsidRDefault="00361057" w:rsidP="00BB409E">
      <w:pPr>
        <w:ind w:right="49" w:firstLine="426"/>
        <w:rPr>
          <w:rFonts w:ascii="Arial Narrow" w:hAnsi="Arial Narrow"/>
          <w:sz w:val="20"/>
          <w:szCs w:val="20"/>
        </w:rPr>
      </w:pPr>
      <w:r w:rsidRPr="0094553C">
        <w:rPr>
          <w:rFonts w:ascii="Arial Narrow" w:hAnsi="Arial Narrow" w:cs="Calibri"/>
          <w:sz w:val="20"/>
          <w:szCs w:val="20"/>
        </w:rPr>
        <w:t>Resolución.</w:t>
      </w:r>
    </w:p>
    <w:p w14:paraId="25D472F7" w14:textId="77777777" w:rsidR="00900692" w:rsidRPr="0094553C" w:rsidRDefault="00900692" w:rsidP="00BB409E">
      <w:pPr>
        <w:ind w:right="49"/>
        <w:rPr>
          <w:rFonts w:ascii="Arial Narrow" w:hAnsi="Arial Narrow" w:cs="Calibri"/>
          <w:b/>
          <w:sz w:val="20"/>
          <w:szCs w:val="20"/>
        </w:rPr>
      </w:pPr>
    </w:p>
    <w:p w14:paraId="73ABD554" w14:textId="77777777" w:rsidR="00AB3C50" w:rsidRPr="0094553C" w:rsidRDefault="00AB3C50" w:rsidP="00BB409E">
      <w:pPr>
        <w:ind w:right="49"/>
        <w:rPr>
          <w:rFonts w:ascii="Arial Narrow" w:hAnsi="Arial Narrow" w:cs="Calibri"/>
          <w:b/>
          <w:sz w:val="20"/>
          <w:szCs w:val="20"/>
        </w:rPr>
      </w:pPr>
    </w:p>
    <w:p w14:paraId="25D472F8" w14:textId="77777777" w:rsidR="00900692" w:rsidRPr="0094553C" w:rsidRDefault="00361057" w:rsidP="00BB409E">
      <w:pPr>
        <w:pStyle w:val="Cuadrculamedia1-nfasis21"/>
        <w:numPr>
          <w:ilvl w:val="0"/>
          <w:numId w:val="1"/>
        </w:numPr>
        <w:tabs>
          <w:tab w:val="left" w:pos="426"/>
        </w:tabs>
        <w:spacing w:after="0" w:line="240" w:lineRule="auto"/>
        <w:ind w:left="426" w:right="49" w:hanging="426"/>
        <w:rPr>
          <w:rFonts w:ascii="Arial Narrow" w:hAnsi="Arial Narrow" w:cs="Calibri"/>
          <w:b/>
          <w:sz w:val="20"/>
          <w:szCs w:val="20"/>
          <w:u w:val="single"/>
        </w:rPr>
      </w:pPr>
      <w:r w:rsidRPr="0094553C">
        <w:rPr>
          <w:rFonts w:ascii="Arial Narrow" w:hAnsi="Arial Narrow" w:cs="Calibri"/>
          <w:b/>
          <w:sz w:val="20"/>
          <w:szCs w:val="20"/>
          <w:u w:val="single"/>
        </w:rPr>
        <w:t xml:space="preserve">Avalado por.  </w:t>
      </w:r>
    </w:p>
    <w:p w14:paraId="25D472F9" w14:textId="77777777" w:rsidR="00900692" w:rsidRPr="0094553C" w:rsidRDefault="00900692" w:rsidP="00BB409E">
      <w:pPr>
        <w:pStyle w:val="Cuadrculamedia1-nfasis21"/>
        <w:tabs>
          <w:tab w:val="left" w:pos="426"/>
        </w:tabs>
        <w:spacing w:after="0" w:line="240" w:lineRule="auto"/>
        <w:ind w:left="426" w:right="49"/>
        <w:rPr>
          <w:rFonts w:ascii="Arial Narrow" w:hAnsi="Arial Narrow" w:cs="Calibri"/>
          <w:b/>
          <w:sz w:val="20"/>
          <w:szCs w:val="20"/>
        </w:rPr>
      </w:pPr>
    </w:p>
    <w:p w14:paraId="25D472FA" w14:textId="6E506514" w:rsidR="00900692" w:rsidRPr="00FB7651" w:rsidRDefault="00361057" w:rsidP="00BB409E">
      <w:pPr>
        <w:numPr>
          <w:ilvl w:val="1"/>
          <w:numId w:val="1"/>
        </w:numPr>
        <w:ind w:left="426" w:right="49" w:firstLine="8"/>
        <w:rPr>
          <w:rFonts w:ascii="Arial Narrow" w:hAnsi="Arial Narrow"/>
          <w:sz w:val="20"/>
          <w:szCs w:val="20"/>
        </w:rPr>
      </w:pPr>
      <w:r w:rsidRPr="0094553C">
        <w:rPr>
          <w:rFonts w:ascii="Arial Narrow" w:hAnsi="Arial Narrow" w:cs="Calibri"/>
          <w:sz w:val="20"/>
          <w:szCs w:val="20"/>
        </w:rPr>
        <w:t>Vicepresidencia de Contratación y Titulación.</w:t>
      </w:r>
    </w:p>
    <w:p w14:paraId="3F4ECA35" w14:textId="494B3E7E" w:rsidR="00166578" w:rsidRPr="00FB7651" w:rsidRDefault="00166578" w:rsidP="00BB409E">
      <w:pPr>
        <w:numPr>
          <w:ilvl w:val="1"/>
          <w:numId w:val="1"/>
        </w:numPr>
        <w:ind w:left="426" w:right="49" w:firstLine="8"/>
        <w:rPr>
          <w:rFonts w:ascii="Arial Narrow" w:hAnsi="Arial Narrow"/>
          <w:sz w:val="20"/>
          <w:szCs w:val="20"/>
        </w:rPr>
      </w:pPr>
      <w:r w:rsidRPr="0094553C">
        <w:rPr>
          <w:rFonts w:ascii="Arial Narrow" w:hAnsi="Arial Narrow" w:cs="Calibri"/>
          <w:sz w:val="20"/>
          <w:szCs w:val="20"/>
        </w:rPr>
        <w:t>Vicepresidencia de Promoción y Fomento.</w:t>
      </w:r>
    </w:p>
    <w:p w14:paraId="25D472FB" w14:textId="77777777" w:rsidR="00900692" w:rsidRPr="00FB7651" w:rsidRDefault="00361057" w:rsidP="00BB409E">
      <w:pPr>
        <w:numPr>
          <w:ilvl w:val="1"/>
          <w:numId w:val="1"/>
        </w:numPr>
        <w:ind w:left="426" w:right="49" w:firstLine="8"/>
        <w:rPr>
          <w:rFonts w:ascii="Arial Narrow" w:hAnsi="Arial Narrow"/>
          <w:sz w:val="20"/>
          <w:szCs w:val="20"/>
        </w:rPr>
      </w:pPr>
      <w:r w:rsidRPr="0094553C">
        <w:rPr>
          <w:rFonts w:ascii="Arial Narrow" w:hAnsi="Arial Narrow" w:cs="Calibri"/>
          <w:sz w:val="20"/>
          <w:szCs w:val="20"/>
        </w:rPr>
        <w:t>Gerencia de Contratación Minera.</w:t>
      </w:r>
    </w:p>
    <w:p w14:paraId="25D472FC" w14:textId="77777777" w:rsidR="00900692" w:rsidRPr="00FB7651" w:rsidRDefault="00361057" w:rsidP="00BB409E">
      <w:pPr>
        <w:numPr>
          <w:ilvl w:val="1"/>
          <w:numId w:val="1"/>
        </w:numPr>
        <w:ind w:left="426" w:right="49" w:firstLine="8"/>
        <w:rPr>
          <w:rFonts w:ascii="Arial Narrow" w:hAnsi="Arial Narrow"/>
          <w:sz w:val="20"/>
          <w:szCs w:val="20"/>
        </w:rPr>
      </w:pPr>
      <w:r w:rsidRPr="0094553C">
        <w:rPr>
          <w:rFonts w:ascii="Arial Narrow" w:hAnsi="Arial Narrow" w:cs="Calibri"/>
          <w:sz w:val="20"/>
          <w:szCs w:val="20"/>
        </w:rPr>
        <w:t>Oficina Asesora Jurídica</w:t>
      </w:r>
    </w:p>
    <w:p w14:paraId="25D472FD" w14:textId="77777777" w:rsidR="00900692" w:rsidRPr="0094553C" w:rsidRDefault="00900692" w:rsidP="00BB409E">
      <w:pPr>
        <w:ind w:right="49"/>
        <w:rPr>
          <w:rFonts w:ascii="Arial Narrow" w:hAnsi="Arial Narrow" w:cs="Calibri"/>
          <w:b/>
          <w:sz w:val="20"/>
          <w:szCs w:val="20"/>
        </w:rPr>
      </w:pPr>
    </w:p>
    <w:p w14:paraId="59C35580" w14:textId="77777777" w:rsidR="00AB3C50" w:rsidRPr="0094553C" w:rsidRDefault="00AB3C50" w:rsidP="00BB409E">
      <w:pPr>
        <w:ind w:right="49"/>
        <w:rPr>
          <w:rFonts w:ascii="Arial Narrow" w:hAnsi="Arial Narrow" w:cs="Calibri"/>
          <w:b/>
          <w:sz w:val="20"/>
          <w:szCs w:val="20"/>
        </w:rPr>
      </w:pPr>
    </w:p>
    <w:p w14:paraId="25D472FE" w14:textId="77777777" w:rsidR="00900692" w:rsidRPr="0094553C" w:rsidRDefault="00361057" w:rsidP="00BB409E">
      <w:pPr>
        <w:pStyle w:val="Cuadrculamedia1-nfasis21"/>
        <w:numPr>
          <w:ilvl w:val="0"/>
          <w:numId w:val="2"/>
        </w:numPr>
        <w:spacing w:after="0" w:line="240" w:lineRule="auto"/>
        <w:ind w:left="426" w:right="49"/>
        <w:rPr>
          <w:rFonts w:ascii="Arial Narrow" w:hAnsi="Arial Narrow" w:cs="Calibri"/>
          <w:b/>
          <w:sz w:val="20"/>
          <w:szCs w:val="20"/>
        </w:rPr>
      </w:pPr>
      <w:r w:rsidRPr="0094553C">
        <w:rPr>
          <w:rFonts w:ascii="Arial Narrow" w:hAnsi="Arial Narrow" w:cs="Calibri"/>
          <w:b/>
          <w:sz w:val="20"/>
          <w:szCs w:val="20"/>
          <w:u w:val="single"/>
        </w:rPr>
        <w:t>Origen de la Iniciativa</w:t>
      </w:r>
      <w:r w:rsidRPr="0094553C">
        <w:rPr>
          <w:rFonts w:ascii="Arial Narrow" w:hAnsi="Arial Narrow" w:cs="Calibri"/>
          <w:b/>
          <w:sz w:val="20"/>
          <w:szCs w:val="20"/>
        </w:rPr>
        <w:t>.</w:t>
      </w:r>
    </w:p>
    <w:p w14:paraId="25D472FF" w14:textId="77777777" w:rsidR="00900692" w:rsidRPr="0094553C" w:rsidRDefault="00900692" w:rsidP="00BB409E">
      <w:pPr>
        <w:pStyle w:val="Cuadrculamedia1-nfasis21"/>
        <w:spacing w:after="0" w:line="240" w:lineRule="auto"/>
        <w:ind w:left="426" w:right="49"/>
        <w:rPr>
          <w:rFonts w:ascii="Arial Narrow" w:hAnsi="Arial Narrow" w:cs="Calibri"/>
          <w:b/>
          <w:sz w:val="20"/>
          <w:szCs w:val="20"/>
        </w:rPr>
      </w:pPr>
    </w:p>
    <w:p w14:paraId="61F833AF" w14:textId="12163B1A" w:rsidR="00CF4212" w:rsidRPr="0094553C" w:rsidRDefault="00CF4212" w:rsidP="0094553C">
      <w:pPr>
        <w:ind w:right="49"/>
        <w:jc w:val="both"/>
        <w:rPr>
          <w:rFonts w:ascii="Arial Narrow" w:hAnsi="Arial Narrow" w:cs="Calibri"/>
          <w:sz w:val="20"/>
          <w:szCs w:val="20"/>
        </w:rPr>
      </w:pPr>
      <w:r w:rsidRPr="0094553C">
        <w:rPr>
          <w:rFonts w:ascii="Arial Narrow" w:hAnsi="Arial Narrow" w:cs="Calibri"/>
          <w:sz w:val="20"/>
          <w:szCs w:val="20"/>
        </w:rPr>
        <w:t>Mediante Sentencia C-389 de 2016 el Tribunal Constitucional consideró que el método actual para la selección del proponente minero es de carácter especial, basado en el derecho de preferencia, el cual exige el cumplimiento de requisitos técnicos, jurídicos y ambientales asociados principalmente a la información sobre la naturaleza del proyecto, contemplados en los artículos 270 y siguientes de la Ley 685 de 2001, para su otorgamiento, y en tal sentido se entiende excluido del régimen general de contratación estatal. Adicionalmente, precisó que la etapa objeto de debate es previa a cualquier actividad minera, toda vez que el derecho de prelación permite al titular ser el primero en iniciar los trabajos de exploración que a la fecha no han sido ejecutados.</w:t>
      </w:r>
    </w:p>
    <w:p w14:paraId="09E3A701" w14:textId="77777777" w:rsidR="00CF4212" w:rsidRPr="0094553C" w:rsidRDefault="00CF4212" w:rsidP="0094553C">
      <w:pPr>
        <w:ind w:right="49"/>
        <w:jc w:val="both"/>
        <w:rPr>
          <w:rFonts w:ascii="Arial Narrow" w:hAnsi="Arial Narrow" w:cs="Calibri"/>
          <w:sz w:val="20"/>
          <w:szCs w:val="20"/>
        </w:rPr>
      </w:pPr>
    </w:p>
    <w:p w14:paraId="7D8A9073" w14:textId="1789ED9F" w:rsidR="00CF4212" w:rsidRPr="0094553C" w:rsidRDefault="00CF4212" w:rsidP="0094553C">
      <w:pPr>
        <w:ind w:right="49"/>
        <w:jc w:val="both"/>
        <w:rPr>
          <w:rFonts w:ascii="Arial Narrow" w:hAnsi="Arial Narrow" w:cs="Calibri"/>
          <w:sz w:val="20"/>
          <w:szCs w:val="20"/>
        </w:rPr>
      </w:pPr>
      <w:r w:rsidRPr="0094553C">
        <w:rPr>
          <w:rFonts w:ascii="Arial Narrow" w:hAnsi="Arial Narrow" w:cs="Calibri"/>
          <w:sz w:val="20"/>
          <w:szCs w:val="20"/>
        </w:rPr>
        <w:t>Así, en el numeral segundo de su parte resolutiva, la Corte Constitucional declaró exequibles los artículos 16, 53, 270 y 271 de la Ley 685 de 2001, condicionada su constitucionalidad a la verificación de mínimos de idoneidad laboral y ambiental por parte de la Autoridad Minera, así como, al agotamiento de un procedimiento que asegure la participación ciudadana previo al otorgamiento del título, sin perjuicio de la participación especial de los grupos étnicamente diferenciados, señalando la obligación dentro del trámite de titulación minera de involucrar las audiencias de participación ciudadana.</w:t>
      </w:r>
    </w:p>
    <w:p w14:paraId="32EE6890" w14:textId="73DC355D" w:rsidR="00CF4212" w:rsidRPr="0094553C" w:rsidRDefault="00CF4212" w:rsidP="00BB409E">
      <w:pPr>
        <w:ind w:right="49"/>
        <w:jc w:val="both"/>
        <w:rPr>
          <w:rFonts w:ascii="Arial Narrow" w:hAnsi="Arial Narrow" w:cs="Calibri"/>
          <w:sz w:val="20"/>
          <w:szCs w:val="20"/>
        </w:rPr>
      </w:pPr>
    </w:p>
    <w:p w14:paraId="32B95E6D" w14:textId="0CBD9821" w:rsidR="00CF4212" w:rsidRPr="0094553C" w:rsidRDefault="00CF4212" w:rsidP="0094553C">
      <w:pPr>
        <w:ind w:right="49"/>
        <w:jc w:val="both"/>
        <w:rPr>
          <w:rFonts w:ascii="Arial Narrow" w:hAnsi="Arial Narrow" w:cs="Calibri"/>
          <w:sz w:val="20"/>
          <w:szCs w:val="20"/>
        </w:rPr>
      </w:pPr>
      <w:r w:rsidRPr="0094553C">
        <w:rPr>
          <w:rFonts w:ascii="Arial Narrow" w:hAnsi="Arial Narrow" w:cs="Calibri"/>
          <w:sz w:val="20"/>
          <w:szCs w:val="20"/>
        </w:rPr>
        <w:t>De manera adicional, mediante Sentencia de Unificación No. SU-095 de 2018, la Corte Constitucional fijó criterios para la definición de mecanismos de participación ciudadana e instrumentos de coordinación y concurrencia nación territorio específicos para la explotación del subsuelo y de recursos naturales no renovables –RNNR, y ordenó a la Agencia Nacional de Minería mantener y fortalecer los programas y proyectos para robustecer el diálogo, la comunicación y la información con las entidades territoriales y sus autoridades locales, así como aplicar la estrategia de participación ciudadana.</w:t>
      </w:r>
    </w:p>
    <w:p w14:paraId="6081DB70" w14:textId="70CC5364" w:rsidR="00CF4212" w:rsidRPr="0094553C" w:rsidRDefault="00CF4212" w:rsidP="0094553C">
      <w:pPr>
        <w:ind w:right="49"/>
        <w:jc w:val="both"/>
        <w:rPr>
          <w:rFonts w:ascii="Arial Narrow" w:hAnsi="Arial Narrow" w:cs="Calibri"/>
          <w:sz w:val="20"/>
          <w:szCs w:val="20"/>
        </w:rPr>
      </w:pPr>
    </w:p>
    <w:p w14:paraId="52CC3BDD" w14:textId="207FAB73" w:rsidR="00CF4212" w:rsidRPr="0094553C" w:rsidRDefault="00CF4212" w:rsidP="0094553C">
      <w:pPr>
        <w:ind w:right="49"/>
        <w:jc w:val="both"/>
        <w:rPr>
          <w:rFonts w:ascii="Arial Narrow" w:hAnsi="Arial Narrow" w:cs="Calibri"/>
          <w:sz w:val="20"/>
          <w:szCs w:val="20"/>
        </w:rPr>
      </w:pPr>
      <w:r w:rsidRPr="0094553C">
        <w:rPr>
          <w:rFonts w:ascii="Arial Narrow" w:hAnsi="Arial Narrow" w:cs="Calibri"/>
          <w:sz w:val="20"/>
          <w:szCs w:val="20"/>
        </w:rPr>
        <w:t xml:space="preserve">Sumado a lo anterior, en Sentencia C-035 de 2016 </w:t>
      </w:r>
      <w:r w:rsidR="00222C75" w:rsidRPr="0094553C">
        <w:rPr>
          <w:rFonts w:ascii="Arial Narrow" w:hAnsi="Arial Narrow" w:cs="Calibri"/>
          <w:sz w:val="20"/>
          <w:szCs w:val="20"/>
        </w:rPr>
        <w:t xml:space="preserve">la Corte Constitucional </w:t>
      </w:r>
      <w:r w:rsidRPr="0094553C">
        <w:rPr>
          <w:rFonts w:ascii="Arial Narrow" w:hAnsi="Arial Narrow" w:cs="Calibri"/>
          <w:sz w:val="20"/>
          <w:szCs w:val="20"/>
        </w:rPr>
        <w:t xml:space="preserve">determinó que, antes de la declaración y delimitación de las (AEM), </w:t>
      </w:r>
      <w:r w:rsidR="00222C75" w:rsidRPr="0094553C">
        <w:rPr>
          <w:rFonts w:ascii="Arial Narrow" w:hAnsi="Arial Narrow" w:cs="Calibri"/>
          <w:sz w:val="20"/>
          <w:szCs w:val="20"/>
        </w:rPr>
        <w:t>prevista</w:t>
      </w:r>
      <w:r w:rsidRPr="0094553C">
        <w:rPr>
          <w:rFonts w:ascii="Arial Narrow" w:hAnsi="Arial Narrow" w:cs="Calibri"/>
          <w:sz w:val="20"/>
          <w:szCs w:val="20"/>
        </w:rPr>
        <w:t xml:space="preserve"> </w:t>
      </w:r>
      <w:r w:rsidR="00222C75" w:rsidRPr="0094553C">
        <w:rPr>
          <w:rFonts w:ascii="Arial Narrow" w:hAnsi="Arial Narrow" w:cs="Calibri"/>
          <w:sz w:val="20"/>
          <w:szCs w:val="20"/>
        </w:rPr>
        <w:t xml:space="preserve">en </w:t>
      </w:r>
      <w:r w:rsidRPr="0094553C">
        <w:rPr>
          <w:rFonts w:ascii="Arial Narrow" w:hAnsi="Arial Narrow" w:cs="Calibri"/>
          <w:sz w:val="20"/>
          <w:szCs w:val="20"/>
        </w:rPr>
        <w:t>el Artículo 20 de la Ley 1753 de 2015, la Autoridad Minera deberá concertar con las autoridades locales de los municipios donde estarán ubicadas las referidas áreas, conforme a los principios de coordinación, concurrencia y subsidiariedad. Además</w:t>
      </w:r>
      <w:r w:rsidR="00D467D5">
        <w:rPr>
          <w:rFonts w:ascii="Arial Narrow" w:hAnsi="Arial Narrow" w:cs="Calibri"/>
          <w:sz w:val="20"/>
          <w:szCs w:val="20"/>
        </w:rPr>
        <w:t>,</w:t>
      </w:r>
      <w:r w:rsidR="00222C75" w:rsidRPr="0094553C">
        <w:rPr>
          <w:rFonts w:ascii="Arial Narrow" w:hAnsi="Arial Narrow" w:cs="Calibri"/>
          <w:sz w:val="20"/>
          <w:szCs w:val="20"/>
        </w:rPr>
        <w:t xml:space="preserve"> señaló que</w:t>
      </w:r>
      <w:r w:rsidRPr="0094553C">
        <w:rPr>
          <w:rFonts w:ascii="Arial Narrow" w:hAnsi="Arial Narrow" w:cs="Calibri"/>
          <w:sz w:val="20"/>
          <w:szCs w:val="20"/>
        </w:rPr>
        <w:t xml:space="preserve"> cuando proceda, deberá agotar el procedimiento de </w:t>
      </w:r>
      <w:r w:rsidRPr="0094553C">
        <w:rPr>
          <w:rFonts w:ascii="Arial Narrow" w:hAnsi="Arial Narrow" w:cs="Calibri"/>
          <w:sz w:val="20"/>
          <w:szCs w:val="20"/>
        </w:rPr>
        <w:lastRenderedPageBreak/>
        <w:t xml:space="preserve">consulta previa y de obtención de consentimiento previo, libre e informado con las comunidades indígenas y afrodescendientes que habitan en los territorios que se pretendan declarar y delimitar, de conformidad con lo ordenado por la Alta Corte mediante Sentencia T-766 de 2015. </w:t>
      </w:r>
    </w:p>
    <w:p w14:paraId="69A81F42" w14:textId="674164FD" w:rsidR="00CF4212" w:rsidRPr="0094553C" w:rsidRDefault="00CF4212" w:rsidP="0094553C">
      <w:pPr>
        <w:ind w:right="49"/>
        <w:jc w:val="both"/>
        <w:rPr>
          <w:rFonts w:ascii="Arial Narrow" w:hAnsi="Arial Narrow" w:cs="Calibri"/>
          <w:sz w:val="20"/>
          <w:szCs w:val="20"/>
        </w:rPr>
      </w:pPr>
    </w:p>
    <w:p w14:paraId="28A72173" w14:textId="5316CE93" w:rsidR="00CF4212" w:rsidRPr="0094553C" w:rsidRDefault="00222C75" w:rsidP="00BB409E">
      <w:pPr>
        <w:ind w:right="49"/>
        <w:jc w:val="both"/>
        <w:rPr>
          <w:rFonts w:ascii="Arial Narrow" w:hAnsi="Arial Narrow" w:cs="Calibri"/>
          <w:sz w:val="20"/>
          <w:szCs w:val="20"/>
        </w:rPr>
      </w:pPr>
      <w:r w:rsidRPr="0094553C">
        <w:rPr>
          <w:rFonts w:cs="Calibri"/>
          <w:sz w:val="20"/>
          <w:szCs w:val="20"/>
        </w:rPr>
        <w:t xml:space="preserve">Finalmente, la Ley 2250 del 11 de julio de 2022, </w:t>
      </w:r>
      <w:r w:rsidRPr="0094553C">
        <w:rPr>
          <w:rFonts w:cs="Calibri"/>
          <w:i/>
          <w:iCs/>
          <w:sz w:val="20"/>
          <w:szCs w:val="20"/>
        </w:rPr>
        <w:t>"</w:t>
      </w:r>
      <w:r w:rsidRPr="0094553C">
        <w:rPr>
          <w:rFonts w:ascii="Arial Narrow" w:hAnsi="Arial Narrow" w:cs="Calibri"/>
          <w:i/>
          <w:iCs/>
          <w:sz w:val="20"/>
          <w:szCs w:val="20"/>
        </w:rPr>
        <w:t>P</w:t>
      </w:r>
      <w:r w:rsidRPr="0094553C">
        <w:rPr>
          <w:rFonts w:cs="Calibri"/>
          <w:iCs/>
          <w:sz w:val="20"/>
          <w:szCs w:val="20"/>
        </w:rPr>
        <w:t>or medio del cual se establece un marco jurídico especial en materia de legalización y formalización minera, así como para su financiamiento, comercialización y se establece una normatividad especial en materia ambiental</w:t>
      </w:r>
      <w:r w:rsidRPr="0094553C">
        <w:rPr>
          <w:rFonts w:cs="Calibri"/>
          <w:i/>
          <w:iCs/>
          <w:sz w:val="20"/>
          <w:szCs w:val="20"/>
        </w:rPr>
        <w:t xml:space="preserve">", </w:t>
      </w:r>
      <w:r w:rsidRPr="0094553C">
        <w:rPr>
          <w:rFonts w:cs="Calibri"/>
          <w:sz w:val="20"/>
          <w:szCs w:val="20"/>
        </w:rPr>
        <w:t>en su artículo 5º parágrafo primero establece que</w:t>
      </w:r>
      <w:r w:rsidRPr="0094553C">
        <w:rPr>
          <w:rFonts w:ascii="Arial Narrow" w:hAnsi="Arial Narrow" w:cs="Calibri"/>
          <w:sz w:val="20"/>
          <w:szCs w:val="20"/>
        </w:rPr>
        <w:t xml:space="preserve"> las áreas de reserva para formalización se otorgarán a través de contratos de concesión con requisitos diferenciales, y que la autoridad minera nacional, previo a la delimitación dé áreas de reserva estratégica minera, deberá validar la presencia de mineros tradicionales y pequeños mineros en las zonas de reserva con potencial e identificar si la actividad de dichos mineros es desarrollada con anterioridad a la reserva de estas zonas. Esto, para delimitar áreas proporcionales en las cuales están ubicados mineros tradicionales y/o pequeños mineros como áreas de reservas para la formalización, generando igualmente estrategias de divulgación con dicha población y atendiendo lo establecido por la normatividad sobre el particular.</w:t>
      </w:r>
    </w:p>
    <w:p w14:paraId="0F6FC14A" w14:textId="77777777" w:rsidR="00222C75" w:rsidRPr="0094553C" w:rsidRDefault="00222C75" w:rsidP="00BB409E">
      <w:pPr>
        <w:ind w:right="49"/>
        <w:jc w:val="both"/>
        <w:rPr>
          <w:rFonts w:ascii="Arial Narrow" w:hAnsi="Arial Narrow" w:cs="Calibri"/>
          <w:sz w:val="20"/>
          <w:szCs w:val="20"/>
        </w:rPr>
      </w:pPr>
    </w:p>
    <w:p w14:paraId="497CA675" w14:textId="77777777" w:rsidR="00C100AF" w:rsidRPr="00FB7651" w:rsidRDefault="00C100AF" w:rsidP="00BB409E">
      <w:pPr>
        <w:ind w:right="49"/>
        <w:jc w:val="both"/>
        <w:rPr>
          <w:rFonts w:ascii="Arial Narrow" w:hAnsi="Arial Narrow"/>
          <w:sz w:val="20"/>
          <w:szCs w:val="20"/>
        </w:rPr>
      </w:pPr>
    </w:p>
    <w:p w14:paraId="25D47301" w14:textId="77777777" w:rsidR="00900692" w:rsidRPr="00D467D5" w:rsidRDefault="00900692" w:rsidP="00BB409E">
      <w:pPr>
        <w:ind w:right="49"/>
        <w:jc w:val="both"/>
        <w:rPr>
          <w:rFonts w:ascii="Arial Narrow" w:hAnsi="Arial Narrow"/>
          <w:sz w:val="20"/>
          <w:szCs w:val="20"/>
        </w:rPr>
      </w:pPr>
    </w:p>
    <w:p w14:paraId="25D47302" w14:textId="77777777" w:rsidR="00900692" w:rsidRPr="0094553C" w:rsidRDefault="00361057" w:rsidP="00BB409E">
      <w:pPr>
        <w:pStyle w:val="Cuadrculamedia1-nfasis21"/>
        <w:numPr>
          <w:ilvl w:val="0"/>
          <w:numId w:val="2"/>
        </w:numPr>
        <w:spacing w:after="0" w:line="240" w:lineRule="auto"/>
        <w:ind w:left="426" w:right="49"/>
        <w:rPr>
          <w:rFonts w:ascii="Arial Narrow" w:hAnsi="Arial Narrow" w:cs="Calibri"/>
          <w:b/>
          <w:sz w:val="20"/>
          <w:szCs w:val="20"/>
          <w:u w:val="single"/>
        </w:rPr>
      </w:pPr>
      <w:r w:rsidRPr="0094553C">
        <w:rPr>
          <w:rFonts w:ascii="Arial Narrow" w:hAnsi="Arial Narrow" w:cs="Calibri"/>
          <w:b/>
          <w:sz w:val="20"/>
          <w:szCs w:val="20"/>
          <w:u w:val="single"/>
        </w:rPr>
        <w:t>Política(s) que Instrumenta.</w:t>
      </w:r>
    </w:p>
    <w:p w14:paraId="25D47303" w14:textId="77777777" w:rsidR="00900692" w:rsidRPr="00FB7651" w:rsidRDefault="00900692" w:rsidP="00BB409E">
      <w:pPr>
        <w:pStyle w:val="Cuadrculamedia1-nfasis21"/>
        <w:spacing w:after="0" w:line="240" w:lineRule="auto"/>
        <w:ind w:left="0" w:right="49"/>
        <w:rPr>
          <w:rFonts w:ascii="Arial Narrow" w:hAnsi="Arial Narrow" w:cs="Calibri"/>
          <w:sz w:val="20"/>
          <w:szCs w:val="20"/>
          <w:u w:val="single"/>
          <w:lang w:eastAsia="es-CO"/>
        </w:rPr>
      </w:pPr>
    </w:p>
    <w:p w14:paraId="338B72FD" w14:textId="03353D82" w:rsidR="00222C75" w:rsidRPr="00D467D5" w:rsidRDefault="00B2702C" w:rsidP="00222C75">
      <w:pPr>
        <w:autoSpaceDE w:val="0"/>
        <w:adjustRightInd w:val="0"/>
        <w:jc w:val="both"/>
        <w:rPr>
          <w:rFonts w:eastAsia="Batang" w:cs="Arial"/>
          <w:i/>
          <w:iCs/>
          <w:sz w:val="22"/>
          <w:szCs w:val="22"/>
        </w:rPr>
      </w:pPr>
      <w:r w:rsidRPr="00D467D5">
        <w:rPr>
          <w:rFonts w:ascii="Arial Narrow" w:hAnsi="Arial Narrow" w:cs="Calibri"/>
          <w:bCs/>
          <w:sz w:val="20"/>
          <w:szCs w:val="20"/>
          <w:lang w:eastAsia="es-CO"/>
        </w:rPr>
        <w:t>El presente a</w:t>
      </w:r>
      <w:r w:rsidR="00AA463C" w:rsidRPr="00FB7651">
        <w:rPr>
          <w:rFonts w:ascii="Arial Narrow" w:hAnsi="Arial Narrow" w:cs="Calibri"/>
          <w:bCs/>
          <w:sz w:val="20"/>
          <w:szCs w:val="20"/>
          <w:lang w:eastAsia="es-CO"/>
        </w:rPr>
        <w:t xml:space="preserve">cto administrativo </w:t>
      </w:r>
      <w:r w:rsidRPr="00FB7651">
        <w:rPr>
          <w:rFonts w:ascii="Arial Narrow" w:hAnsi="Arial Narrow" w:cs="Calibri"/>
          <w:bCs/>
          <w:sz w:val="20"/>
          <w:szCs w:val="20"/>
          <w:lang w:eastAsia="es-CO"/>
        </w:rPr>
        <w:t xml:space="preserve">es </w:t>
      </w:r>
      <w:r w:rsidR="00AA463C" w:rsidRPr="00FB7651">
        <w:rPr>
          <w:rFonts w:ascii="Arial Narrow" w:hAnsi="Arial Narrow" w:cs="Calibri"/>
          <w:bCs/>
          <w:sz w:val="20"/>
          <w:szCs w:val="20"/>
          <w:lang w:eastAsia="es-CO"/>
        </w:rPr>
        <w:t xml:space="preserve">de carácter general, </w:t>
      </w:r>
      <w:r w:rsidRPr="00FB7651">
        <w:rPr>
          <w:rFonts w:ascii="Arial Narrow" w:hAnsi="Arial Narrow" w:cs="Calibri"/>
          <w:bCs/>
          <w:sz w:val="20"/>
          <w:szCs w:val="20"/>
          <w:lang w:eastAsia="es-CO"/>
        </w:rPr>
        <w:t xml:space="preserve">y tiene como propósito </w:t>
      </w:r>
      <w:r w:rsidR="00371295" w:rsidRPr="00FB7651">
        <w:rPr>
          <w:rFonts w:ascii="Arial Narrow" w:hAnsi="Arial Narrow" w:cs="Calibri"/>
          <w:bCs/>
          <w:sz w:val="20"/>
          <w:szCs w:val="20"/>
          <w:lang w:eastAsia="es-CO"/>
        </w:rPr>
        <w:t>modifica</w:t>
      </w:r>
      <w:r w:rsidRPr="00FB7651">
        <w:rPr>
          <w:rFonts w:ascii="Arial Narrow" w:hAnsi="Arial Narrow" w:cs="Calibri"/>
          <w:bCs/>
          <w:sz w:val="20"/>
          <w:szCs w:val="20"/>
          <w:lang w:eastAsia="es-CO"/>
        </w:rPr>
        <w:t>r</w:t>
      </w:r>
      <w:r w:rsidR="00371295" w:rsidRPr="00FB7651">
        <w:rPr>
          <w:rFonts w:ascii="Arial Narrow" w:hAnsi="Arial Narrow" w:cs="Calibri"/>
          <w:bCs/>
          <w:sz w:val="20"/>
          <w:szCs w:val="20"/>
          <w:lang w:eastAsia="es-CO"/>
        </w:rPr>
        <w:t xml:space="preserve"> la Resolución 1099 de 2023 que </w:t>
      </w:r>
      <w:r w:rsidR="00AA463C" w:rsidRPr="00FB7651">
        <w:rPr>
          <w:rFonts w:ascii="Arial Narrow" w:hAnsi="Arial Narrow" w:cs="Calibri"/>
          <w:bCs/>
          <w:sz w:val="20"/>
          <w:szCs w:val="20"/>
          <w:lang w:eastAsia="es-CO"/>
        </w:rPr>
        <w:t xml:space="preserve">adopta el procedimiento de </w:t>
      </w:r>
      <w:r w:rsidR="00BB409E" w:rsidRPr="00FB7651">
        <w:rPr>
          <w:rFonts w:ascii="Arial Narrow" w:hAnsi="Arial Narrow" w:cs="Calibri"/>
          <w:bCs/>
          <w:sz w:val="20"/>
          <w:szCs w:val="20"/>
          <w:lang w:eastAsia="es-CO"/>
        </w:rPr>
        <w:t>Audiencia Pública Minera</w:t>
      </w:r>
      <w:r w:rsidR="00AA463C" w:rsidRPr="00FB7651">
        <w:rPr>
          <w:rFonts w:ascii="Arial Narrow" w:hAnsi="Arial Narrow" w:cs="Calibri"/>
          <w:bCs/>
          <w:sz w:val="20"/>
          <w:szCs w:val="20"/>
          <w:lang w:eastAsia="es-CO"/>
        </w:rPr>
        <w:t xml:space="preserve"> para otorgamiento de títulos mineros</w:t>
      </w:r>
      <w:r w:rsidR="00C100AF" w:rsidRPr="00FB7651">
        <w:rPr>
          <w:rFonts w:ascii="Arial Narrow" w:hAnsi="Arial Narrow" w:cs="Calibri"/>
          <w:bCs/>
          <w:sz w:val="20"/>
          <w:szCs w:val="20"/>
          <w:lang w:eastAsia="es-CO"/>
        </w:rPr>
        <w:t xml:space="preserve">, </w:t>
      </w:r>
      <w:r w:rsidRPr="00FB7651">
        <w:rPr>
          <w:rFonts w:ascii="Arial Narrow" w:hAnsi="Arial Narrow" w:cs="Calibri"/>
          <w:bCs/>
          <w:sz w:val="20"/>
          <w:szCs w:val="20"/>
          <w:lang w:eastAsia="es-CO"/>
        </w:rPr>
        <w:t>con el fin de precisar el alcance del</w:t>
      </w:r>
      <w:r w:rsidR="00C100AF" w:rsidRPr="00FB7651">
        <w:rPr>
          <w:rFonts w:ascii="Arial Narrow" w:hAnsi="Arial Narrow" w:cs="Calibri"/>
          <w:bCs/>
          <w:sz w:val="20"/>
          <w:szCs w:val="20"/>
          <w:lang w:eastAsia="es-CO"/>
        </w:rPr>
        <w:t xml:space="preserve"> procedimiento</w:t>
      </w:r>
      <w:r w:rsidRPr="00FB7651">
        <w:rPr>
          <w:rFonts w:ascii="Arial Narrow" w:hAnsi="Arial Narrow" w:cs="Calibri"/>
          <w:bCs/>
          <w:sz w:val="20"/>
          <w:szCs w:val="20"/>
          <w:lang w:eastAsia="es-CO"/>
        </w:rPr>
        <w:t>, e indicar que</w:t>
      </w:r>
      <w:r w:rsidR="00C100AF" w:rsidRPr="00FB7651">
        <w:rPr>
          <w:rFonts w:ascii="Arial Narrow" w:hAnsi="Arial Narrow" w:cs="Calibri"/>
          <w:bCs/>
          <w:sz w:val="20"/>
          <w:szCs w:val="20"/>
          <w:lang w:eastAsia="es-CO"/>
        </w:rPr>
        <w:t xml:space="preserve"> aplica para </w:t>
      </w:r>
      <w:r w:rsidR="00222C75" w:rsidRPr="0094553C">
        <w:rPr>
          <w:rFonts w:ascii="Arial Narrow" w:hAnsi="Arial Narrow" w:cs="Calibri"/>
          <w:b/>
          <w:i/>
          <w:iCs/>
          <w:sz w:val="20"/>
          <w:szCs w:val="20"/>
          <w:lang w:eastAsia="es-CO"/>
        </w:rPr>
        <w:t>(i)</w:t>
      </w:r>
      <w:r w:rsidR="00222C75" w:rsidRPr="0094553C">
        <w:rPr>
          <w:rFonts w:ascii="Arial Narrow" w:hAnsi="Arial Narrow" w:cs="Calibri"/>
          <w:bCs/>
          <w:sz w:val="20"/>
          <w:szCs w:val="20"/>
          <w:lang w:eastAsia="es-CO"/>
        </w:rPr>
        <w:t xml:space="preserve"> las propuestas de contrato de concesión minera, </w:t>
      </w:r>
      <w:r w:rsidR="00222C75" w:rsidRPr="0094553C">
        <w:rPr>
          <w:rFonts w:ascii="Arial Narrow" w:hAnsi="Arial Narrow" w:cs="Calibri"/>
          <w:b/>
          <w:i/>
          <w:iCs/>
          <w:sz w:val="20"/>
          <w:szCs w:val="20"/>
          <w:lang w:eastAsia="es-CO"/>
        </w:rPr>
        <w:t>(</w:t>
      </w:r>
      <w:proofErr w:type="spellStart"/>
      <w:r w:rsidR="00222C75" w:rsidRPr="0094553C">
        <w:rPr>
          <w:rFonts w:ascii="Arial Narrow" w:hAnsi="Arial Narrow" w:cs="Calibri"/>
          <w:b/>
          <w:i/>
          <w:iCs/>
          <w:sz w:val="20"/>
          <w:szCs w:val="20"/>
          <w:lang w:eastAsia="es-CO"/>
        </w:rPr>
        <w:t>ii</w:t>
      </w:r>
      <w:proofErr w:type="spellEnd"/>
      <w:r w:rsidR="00222C75" w:rsidRPr="0094553C">
        <w:rPr>
          <w:rFonts w:ascii="Arial Narrow" w:hAnsi="Arial Narrow" w:cs="Calibri"/>
          <w:b/>
          <w:i/>
          <w:iCs/>
          <w:sz w:val="20"/>
          <w:szCs w:val="20"/>
          <w:lang w:eastAsia="es-CO"/>
        </w:rPr>
        <w:t>)</w:t>
      </w:r>
      <w:r w:rsidR="00222C75" w:rsidRPr="0094553C">
        <w:rPr>
          <w:rFonts w:ascii="Arial Narrow" w:hAnsi="Arial Narrow" w:cs="Calibri"/>
          <w:bCs/>
          <w:sz w:val="20"/>
          <w:szCs w:val="20"/>
          <w:lang w:eastAsia="es-CO"/>
        </w:rPr>
        <w:t xml:space="preserve"> propuestas de concesión minera con requisitos diferenciales, con excepción de las provenientes de devoluciones de áreas para formalización minera con beneficiario directo, y para las que recaigan sobre Áreas de Reserva Estratégica Minera para la Formalización; </w:t>
      </w:r>
      <w:r w:rsidR="00222C75" w:rsidRPr="0094553C">
        <w:rPr>
          <w:rFonts w:ascii="Arial Narrow" w:hAnsi="Arial Narrow" w:cs="Calibri"/>
          <w:b/>
          <w:i/>
          <w:iCs/>
          <w:sz w:val="20"/>
          <w:szCs w:val="20"/>
          <w:lang w:eastAsia="es-CO"/>
        </w:rPr>
        <w:t>(</w:t>
      </w:r>
      <w:proofErr w:type="spellStart"/>
      <w:r w:rsidR="00222C75" w:rsidRPr="0094553C">
        <w:rPr>
          <w:rFonts w:ascii="Arial Narrow" w:hAnsi="Arial Narrow" w:cs="Calibri"/>
          <w:b/>
          <w:i/>
          <w:iCs/>
          <w:sz w:val="20"/>
          <w:szCs w:val="20"/>
          <w:lang w:eastAsia="es-CO"/>
        </w:rPr>
        <w:t>iii</w:t>
      </w:r>
      <w:proofErr w:type="spellEnd"/>
      <w:r w:rsidR="00222C75" w:rsidRPr="0094553C">
        <w:rPr>
          <w:rFonts w:ascii="Arial Narrow" w:hAnsi="Arial Narrow" w:cs="Calibri"/>
          <w:b/>
          <w:i/>
          <w:iCs/>
          <w:sz w:val="20"/>
          <w:szCs w:val="20"/>
          <w:lang w:eastAsia="es-CO"/>
        </w:rPr>
        <w:t>)</w:t>
      </w:r>
      <w:r w:rsidR="00222C75" w:rsidRPr="0094553C">
        <w:rPr>
          <w:rFonts w:ascii="Arial Narrow" w:hAnsi="Arial Narrow" w:cs="Calibri"/>
          <w:bCs/>
          <w:sz w:val="20"/>
          <w:szCs w:val="20"/>
          <w:lang w:eastAsia="es-CO"/>
        </w:rPr>
        <w:t xml:space="preserve"> para las solicitudes de licencias de exploración, que se presenten a partir de la  entrada en vigencia del procedimiento de audiencia pública minera, así como </w:t>
      </w:r>
      <w:r w:rsidR="00222C75" w:rsidRPr="0094553C">
        <w:rPr>
          <w:rFonts w:ascii="Arial Narrow" w:hAnsi="Arial Narrow" w:cs="Calibri"/>
          <w:b/>
          <w:i/>
          <w:iCs/>
          <w:sz w:val="20"/>
          <w:szCs w:val="20"/>
          <w:lang w:eastAsia="es-CO"/>
        </w:rPr>
        <w:t>(</w:t>
      </w:r>
      <w:proofErr w:type="spellStart"/>
      <w:r w:rsidR="00222C75" w:rsidRPr="0094553C">
        <w:rPr>
          <w:rFonts w:ascii="Arial Narrow" w:hAnsi="Arial Narrow" w:cs="Calibri"/>
          <w:b/>
          <w:i/>
          <w:iCs/>
          <w:sz w:val="20"/>
          <w:szCs w:val="20"/>
          <w:lang w:eastAsia="es-CO"/>
        </w:rPr>
        <w:t>iv</w:t>
      </w:r>
      <w:proofErr w:type="spellEnd"/>
      <w:r w:rsidR="00222C75" w:rsidRPr="0094553C">
        <w:rPr>
          <w:rFonts w:ascii="Arial Narrow" w:hAnsi="Arial Narrow" w:cs="Calibri"/>
          <w:b/>
          <w:i/>
          <w:iCs/>
          <w:sz w:val="20"/>
          <w:szCs w:val="20"/>
          <w:lang w:eastAsia="es-CO"/>
        </w:rPr>
        <w:t>)</w:t>
      </w:r>
      <w:r w:rsidR="00222C75" w:rsidRPr="0094553C">
        <w:rPr>
          <w:rFonts w:ascii="Arial Narrow" w:hAnsi="Arial Narrow" w:cs="Calibri"/>
          <w:bCs/>
          <w:sz w:val="20"/>
          <w:szCs w:val="20"/>
          <w:lang w:eastAsia="es-CO"/>
        </w:rPr>
        <w:t xml:space="preserve"> aquellas que se encuentren en trámite y que no hayan superado conjuntamente las etapas de coordinación y concurrencia y audiencia pública, al igual que </w:t>
      </w:r>
      <w:r w:rsidR="00222C75" w:rsidRPr="0094553C">
        <w:rPr>
          <w:rFonts w:ascii="Arial Narrow" w:hAnsi="Arial Narrow" w:cs="Calibri"/>
          <w:b/>
          <w:i/>
          <w:iCs/>
          <w:sz w:val="20"/>
          <w:szCs w:val="20"/>
          <w:lang w:eastAsia="es-CO"/>
        </w:rPr>
        <w:t>(v)</w:t>
      </w:r>
      <w:r w:rsidR="00222C75" w:rsidRPr="0094553C">
        <w:rPr>
          <w:rFonts w:ascii="Arial Narrow" w:hAnsi="Arial Narrow" w:cs="Calibri"/>
          <w:bCs/>
          <w:sz w:val="20"/>
          <w:szCs w:val="20"/>
          <w:lang w:eastAsia="es-CO"/>
        </w:rPr>
        <w:t xml:space="preserve"> las propuestas que estando presentes en más de un ente territorial, no llevaron a cabo la audiencia pública en todos ellos</w:t>
      </w:r>
      <w:r w:rsidR="00222C75" w:rsidRPr="00FB7651">
        <w:rPr>
          <w:rFonts w:ascii="Arial Narrow" w:hAnsi="Arial Narrow" w:cs="Calibri"/>
          <w:bCs/>
          <w:sz w:val="20"/>
          <w:szCs w:val="20"/>
          <w:lang w:eastAsia="es-CO"/>
        </w:rPr>
        <w:t>.</w:t>
      </w:r>
      <w:r w:rsidR="00222C75" w:rsidRPr="00D467D5">
        <w:rPr>
          <w:rFonts w:eastAsia="Batang" w:cs="Arial"/>
          <w:i/>
          <w:iCs/>
          <w:sz w:val="22"/>
          <w:szCs w:val="22"/>
        </w:rPr>
        <w:t xml:space="preserve"> </w:t>
      </w:r>
    </w:p>
    <w:p w14:paraId="1F9FCB3A" w14:textId="1220AA77" w:rsidR="00620DC2" w:rsidRPr="00FB7651" w:rsidRDefault="00620DC2" w:rsidP="00BB409E">
      <w:pPr>
        <w:ind w:right="49"/>
        <w:jc w:val="both"/>
        <w:rPr>
          <w:rFonts w:ascii="Arial Narrow" w:hAnsi="Arial Narrow" w:cs="Calibri"/>
          <w:bCs/>
          <w:sz w:val="20"/>
          <w:szCs w:val="20"/>
          <w:lang w:eastAsia="es-CO"/>
        </w:rPr>
      </w:pPr>
    </w:p>
    <w:p w14:paraId="73076265" w14:textId="2DF86385" w:rsidR="00B2702C" w:rsidRPr="00FB7651" w:rsidRDefault="0066446D" w:rsidP="0094553C">
      <w:pPr>
        <w:autoSpaceDE w:val="0"/>
        <w:adjustRightInd w:val="0"/>
        <w:jc w:val="both"/>
        <w:rPr>
          <w:rFonts w:ascii="Arial Narrow" w:hAnsi="Arial Narrow" w:cs="Calibri"/>
          <w:bCs/>
          <w:sz w:val="20"/>
          <w:szCs w:val="20"/>
          <w:lang w:eastAsia="es-CO"/>
        </w:rPr>
      </w:pPr>
      <w:r w:rsidRPr="00FB7651">
        <w:rPr>
          <w:rFonts w:ascii="Arial Narrow" w:hAnsi="Arial Narrow" w:cs="Calibri"/>
          <w:bCs/>
          <w:sz w:val="20"/>
          <w:szCs w:val="20"/>
          <w:lang w:eastAsia="es-CO"/>
        </w:rPr>
        <w:t>Así, la</w:t>
      </w:r>
      <w:r w:rsidR="00B2702C" w:rsidRPr="00FB7651">
        <w:rPr>
          <w:rFonts w:ascii="Arial Narrow" w:hAnsi="Arial Narrow" w:cs="Calibri"/>
          <w:bCs/>
          <w:sz w:val="20"/>
          <w:szCs w:val="20"/>
          <w:lang w:eastAsia="es-CO"/>
        </w:rPr>
        <w:t xml:space="preserve"> anterior</w:t>
      </w:r>
      <w:r w:rsidRPr="00FB7651">
        <w:rPr>
          <w:rFonts w:ascii="Arial Narrow" w:hAnsi="Arial Narrow" w:cs="Calibri"/>
          <w:bCs/>
          <w:sz w:val="20"/>
          <w:szCs w:val="20"/>
          <w:lang w:eastAsia="es-CO"/>
        </w:rPr>
        <w:t xml:space="preserve"> propuesta de modificación,</w:t>
      </w:r>
      <w:r w:rsidR="00B2702C" w:rsidRPr="00FB7651">
        <w:rPr>
          <w:rFonts w:ascii="Arial Narrow" w:hAnsi="Arial Narrow" w:cs="Calibri"/>
          <w:bCs/>
          <w:sz w:val="20"/>
          <w:szCs w:val="20"/>
          <w:lang w:eastAsia="es-CO"/>
        </w:rPr>
        <w:t xml:space="preserve"> </w:t>
      </w:r>
      <w:r w:rsidRPr="00FB7651">
        <w:rPr>
          <w:rFonts w:ascii="Arial Narrow" w:hAnsi="Arial Narrow" w:cs="Calibri"/>
          <w:bCs/>
          <w:sz w:val="20"/>
          <w:szCs w:val="20"/>
          <w:lang w:eastAsia="es-CO"/>
        </w:rPr>
        <w:t xml:space="preserve">tiene como fundamento, en primer lugar que, </w:t>
      </w:r>
      <w:r w:rsidR="00B2702C" w:rsidRPr="0094553C">
        <w:rPr>
          <w:rFonts w:ascii="Arial Narrow" w:hAnsi="Arial Narrow" w:cs="Calibri"/>
          <w:bCs/>
          <w:sz w:val="20"/>
          <w:szCs w:val="20"/>
          <w:lang w:eastAsia="es-CO"/>
        </w:rPr>
        <w:t xml:space="preserve">el resultado de </w:t>
      </w:r>
      <w:r w:rsidRPr="00FB7651">
        <w:rPr>
          <w:rFonts w:ascii="Arial Narrow" w:hAnsi="Arial Narrow" w:cs="Calibri"/>
          <w:bCs/>
          <w:sz w:val="20"/>
          <w:szCs w:val="20"/>
          <w:lang w:eastAsia="es-CO"/>
        </w:rPr>
        <w:t>la</w:t>
      </w:r>
      <w:r w:rsidRPr="00D467D5">
        <w:rPr>
          <w:rFonts w:ascii="Arial Narrow" w:hAnsi="Arial Narrow" w:cs="Calibri"/>
          <w:bCs/>
          <w:sz w:val="20"/>
          <w:szCs w:val="20"/>
          <w:lang w:eastAsia="es-CO"/>
        </w:rPr>
        <w:t xml:space="preserve">s </w:t>
      </w:r>
      <w:r w:rsidR="00B2702C" w:rsidRPr="0094553C">
        <w:rPr>
          <w:rFonts w:ascii="Arial Narrow" w:hAnsi="Arial Narrow" w:cs="Calibri"/>
          <w:bCs/>
          <w:sz w:val="20"/>
          <w:szCs w:val="20"/>
          <w:lang w:eastAsia="es-CO"/>
        </w:rPr>
        <w:t>propuestas de contrato de concesión minera con requisitos diferenciales provenientes de devoluciones de áreas para formalización con beneficiario directo es un Contrato de Concesión para la Formalización de pequeños mineros, que no se presenta sobre un área libre, sino como resultado de un área titulada previamente, en la que ya se están ejecutando trabajos de explotación por los pequeños mineros</w:t>
      </w:r>
    </w:p>
    <w:p w14:paraId="7FA59C75" w14:textId="77777777" w:rsidR="00B2702C" w:rsidRPr="00D467D5" w:rsidRDefault="00B2702C" w:rsidP="00BB409E">
      <w:pPr>
        <w:ind w:right="49"/>
        <w:jc w:val="both"/>
        <w:rPr>
          <w:rFonts w:ascii="Arial Narrow" w:hAnsi="Arial Narrow" w:cs="Calibri"/>
          <w:bCs/>
          <w:sz w:val="20"/>
          <w:szCs w:val="20"/>
          <w:lang w:eastAsia="es-CO"/>
        </w:rPr>
      </w:pPr>
    </w:p>
    <w:p w14:paraId="0F1FAF01" w14:textId="176B3913" w:rsidR="00371295" w:rsidRPr="00D467D5" w:rsidRDefault="0066446D" w:rsidP="00BB409E">
      <w:pPr>
        <w:ind w:right="49"/>
        <w:jc w:val="both"/>
        <w:rPr>
          <w:rFonts w:ascii="Arial Narrow" w:hAnsi="Arial Narrow" w:cs="Calibri"/>
          <w:bCs/>
          <w:sz w:val="20"/>
          <w:szCs w:val="20"/>
          <w:lang w:eastAsia="es-CO"/>
        </w:rPr>
      </w:pPr>
      <w:r w:rsidRPr="00D467D5">
        <w:rPr>
          <w:rFonts w:ascii="Arial Narrow" w:hAnsi="Arial Narrow" w:cs="Calibri"/>
          <w:bCs/>
          <w:sz w:val="20"/>
          <w:szCs w:val="20"/>
          <w:lang w:eastAsia="es-CO"/>
        </w:rPr>
        <w:t xml:space="preserve">Y en segundo lugar que, </w:t>
      </w:r>
      <w:r w:rsidR="00B2702C" w:rsidRPr="00D467D5">
        <w:rPr>
          <w:rFonts w:ascii="Arial Narrow" w:hAnsi="Arial Narrow" w:cs="Calibri"/>
          <w:bCs/>
          <w:sz w:val="20"/>
          <w:szCs w:val="20"/>
          <w:lang w:eastAsia="es-CO"/>
        </w:rPr>
        <w:t>con fundamento en lo previsto en</w:t>
      </w:r>
      <w:r w:rsidR="00371295" w:rsidRPr="00FB7651">
        <w:rPr>
          <w:rFonts w:ascii="Arial Narrow" w:hAnsi="Arial Narrow" w:cs="Calibri"/>
          <w:bCs/>
          <w:sz w:val="20"/>
          <w:szCs w:val="20"/>
          <w:lang w:eastAsia="es-CO"/>
        </w:rPr>
        <w:t xml:space="preserve"> el parágrafo 1 del artículo 5° de la Ley 2250 de 2022</w:t>
      </w:r>
      <w:r w:rsidR="00B2702C" w:rsidRPr="00FB7651">
        <w:rPr>
          <w:rFonts w:ascii="Arial Narrow" w:hAnsi="Arial Narrow" w:cs="Calibri"/>
          <w:bCs/>
          <w:sz w:val="20"/>
          <w:szCs w:val="20"/>
          <w:lang w:eastAsia="es-CO"/>
        </w:rPr>
        <w:t xml:space="preserve"> concordante con el artículo 20 de la Ley 1753 de 2015</w:t>
      </w:r>
      <w:r w:rsidR="00371295" w:rsidRPr="00FB7651">
        <w:rPr>
          <w:rFonts w:ascii="Arial Narrow" w:hAnsi="Arial Narrow" w:cs="Calibri"/>
          <w:bCs/>
          <w:sz w:val="20"/>
          <w:szCs w:val="20"/>
          <w:lang w:eastAsia="es-CO"/>
        </w:rPr>
        <w:t>,</w:t>
      </w:r>
      <w:r w:rsidR="00C100AF" w:rsidRPr="00FB7651">
        <w:rPr>
          <w:rFonts w:ascii="Arial Narrow" w:hAnsi="Arial Narrow" w:cs="Calibri"/>
          <w:bCs/>
          <w:sz w:val="20"/>
          <w:szCs w:val="20"/>
          <w:lang w:eastAsia="es-CO"/>
        </w:rPr>
        <w:t xml:space="preserve"> </w:t>
      </w:r>
      <w:r w:rsidR="00ED087E" w:rsidRPr="00FB7651">
        <w:rPr>
          <w:rFonts w:ascii="Arial Narrow" w:hAnsi="Arial Narrow" w:cs="Calibri"/>
          <w:bCs/>
          <w:sz w:val="20"/>
          <w:szCs w:val="20"/>
          <w:lang w:eastAsia="es-CO"/>
        </w:rPr>
        <w:t xml:space="preserve">las propuestas de concesión minera con requisitos diferenciales, que recaigan sobre Áreas de Reserva Estratégica Minera para la Formalización, </w:t>
      </w:r>
      <w:r w:rsidR="00FB7651" w:rsidRPr="00FB7651">
        <w:rPr>
          <w:rFonts w:ascii="Arial Narrow" w:hAnsi="Arial Narrow" w:cs="Calibri"/>
          <w:bCs/>
          <w:sz w:val="20"/>
          <w:szCs w:val="20"/>
          <w:lang w:eastAsia="es-CO"/>
        </w:rPr>
        <w:t>exigen</w:t>
      </w:r>
      <w:r w:rsidR="00371295" w:rsidRPr="00FB7651">
        <w:rPr>
          <w:rFonts w:ascii="Arial Narrow" w:hAnsi="Arial Narrow" w:cs="Calibri"/>
          <w:bCs/>
          <w:sz w:val="20"/>
          <w:szCs w:val="20"/>
          <w:lang w:eastAsia="es-CO"/>
        </w:rPr>
        <w:t xml:space="preserve"> que la autoridad minera nacional, previo a la delimitación dé áreas de reserva estratégica minera, </w:t>
      </w:r>
      <w:r w:rsidR="00FB7651" w:rsidRPr="00FB7651">
        <w:rPr>
          <w:rFonts w:ascii="Arial Narrow" w:hAnsi="Arial Narrow" w:cs="Calibri"/>
          <w:bCs/>
          <w:sz w:val="20"/>
          <w:szCs w:val="20"/>
          <w:lang w:eastAsia="es-CO"/>
        </w:rPr>
        <w:t>valide</w:t>
      </w:r>
      <w:r w:rsidR="00371295" w:rsidRPr="00FB7651">
        <w:rPr>
          <w:rFonts w:ascii="Arial Narrow" w:hAnsi="Arial Narrow" w:cs="Calibri"/>
          <w:bCs/>
          <w:sz w:val="20"/>
          <w:szCs w:val="20"/>
          <w:lang w:eastAsia="es-CO"/>
        </w:rPr>
        <w:t xml:space="preserve"> la presencia de mineros tradicionales y pequeños mineros en las zonas de reserva con potencial e identifi</w:t>
      </w:r>
      <w:r w:rsidR="00FB7651" w:rsidRPr="00FB7651">
        <w:rPr>
          <w:rFonts w:ascii="Arial Narrow" w:hAnsi="Arial Narrow" w:cs="Calibri"/>
          <w:bCs/>
          <w:sz w:val="20"/>
          <w:szCs w:val="20"/>
          <w:lang w:eastAsia="es-CO"/>
        </w:rPr>
        <w:t>que</w:t>
      </w:r>
      <w:r w:rsidR="00371295" w:rsidRPr="00FB7651">
        <w:rPr>
          <w:rFonts w:ascii="Arial Narrow" w:hAnsi="Arial Narrow" w:cs="Calibri"/>
          <w:bCs/>
          <w:sz w:val="20"/>
          <w:szCs w:val="20"/>
          <w:lang w:eastAsia="es-CO"/>
        </w:rPr>
        <w:t xml:space="preserve"> si la actividad de dichos mineros es desarrollada con anterioridad a la reserva de estas zonas</w:t>
      </w:r>
      <w:r w:rsidR="00B2702C" w:rsidRPr="00FB7651">
        <w:rPr>
          <w:rFonts w:ascii="Arial Narrow" w:hAnsi="Arial Narrow" w:cs="Calibri"/>
          <w:bCs/>
          <w:sz w:val="20"/>
          <w:szCs w:val="20"/>
          <w:lang w:eastAsia="es-CO"/>
        </w:rPr>
        <w:t>,</w:t>
      </w:r>
      <w:r w:rsidR="00371295" w:rsidRPr="00FB7651">
        <w:rPr>
          <w:rFonts w:ascii="Arial Narrow" w:hAnsi="Arial Narrow" w:cs="Calibri"/>
          <w:bCs/>
          <w:sz w:val="20"/>
          <w:szCs w:val="20"/>
          <w:lang w:eastAsia="es-CO"/>
        </w:rPr>
        <w:t xml:space="preserve"> generando estrategias de divulgación con dicha población y atendiendo lo establecido por la normatividad sobre el particular</w:t>
      </w:r>
      <w:r w:rsidR="00FB7651" w:rsidRPr="00FB7651">
        <w:rPr>
          <w:rFonts w:ascii="Arial Narrow" w:hAnsi="Arial Narrow" w:cs="Calibri"/>
          <w:bCs/>
          <w:sz w:val="20"/>
          <w:szCs w:val="20"/>
          <w:lang w:eastAsia="es-CO"/>
        </w:rPr>
        <w:t xml:space="preserve">, sin que ello implique, en los dos escenarios acá expuestos, que se debe dar </w:t>
      </w:r>
      <w:r w:rsidR="00FB7651">
        <w:rPr>
          <w:rFonts w:ascii="Arial Narrow" w:hAnsi="Arial Narrow" w:cs="Calibri"/>
          <w:bCs/>
          <w:sz w:val="20"/>
          <w:szCs w:val="20"/>
          <w:lang w:eastAsia="es-CO"/>
        </w:rPr>
        <w:t xml:space="preserve">aplicación </w:t>
      </w:r>
      <w:r w:rsidR="00FB7651" w:rsidRPr="00D467D5">
        <w:rPr>
          <w:rFonts w:ascii="Arial Narrow" w:hAnsi="Arial Narrow" w:cs="Calibri"/>
          <w:bCs/>
          <w:sz w:val="20"/>
          <w:szCs w:val="20"/>
          <w:lang w:eastAsia="es-CO"/>
        </w:rPr>
        <w:t>al procedimiento previsto para audiencias pública</w:t>
      </w:r>
      <w:r w:rsidR="00FB7651" w:rsidRPr="00FB7651">
        <w:rPr>
          <w:rFonts w:ascii="Arial Narrow" w:hAnsi="Arial Narrow" w:cs="Calibri"/>
          <w:bCs/>
          <w:sz w:val="20"/>
          <w:szCs w:val="20"/>
          <w:lang w:eastAsia="es-CO"/>
        </w:rPr>
        <w:t>s mineras previsto en la resolución objeto de</w:t>
      </w:r>
      <w:r w:rsidR="00FB7651">
        <w:rPr>
          <w:rFonts w:ascii="Arial Narrow" w:hAnsi="Arial Narrow" w:cs="Calibri"/>
          <w:bCs/>
          <w:sz w:val="20"/>
          <w:szCs w:val="20"/>
          <w:lang w:eastAsia="es-CO"/>
        </w:rPr>
        <w:t xml:space="preserve"> la propuesta de</w:t>
      </w:r>
      <w:r w:rsidR="00FB7651" w:rsidRPr="00D467D5">
        <w:rPr>
          <w:rFonts w:ascii="Arial Narrow" w:hAnsi="Arial Narrow" w:cs="Calibri"/>
          <w:bCs/>
          <w:sz w:val="20"/>
          <w:szCs w:val="20"/>
          <w:lang w:eastAsia="es-CO"/>
        </w:rPr>
        <w:t xml:space="preserve"> modificación.</w:t>
      </w:r>
    </w:p>
    <w:p w14:paraId="3EDE9859" w14:textId="77777777" w:rsidR="00B2702C" w:rsidRPr="00FB7651" w:rsidRDefault="00B2702C" w:rsidP="00BB409E">
      <w:pPr>
        <w:ind w:right="49"/>
        <w:jc w:val="both"/>
        <w:rPr>
          <w:rFonts w:ascii="Arial Narrow" w:hAnsi="Arial Narrow" w:cs="Calibri"/>
          <w:bCs/>
          <w:sz w:val="20"/>
          <w:szCs w:val="20"/>
          <w:lang w:eastAsia="es-CO"/>
        </w:rPr>
      </w:pPr>
    </w:p>
    <w:p w14:paraId="45CAE60E" w14:textId="41F5B843" w:rsidR="00F104F3" w:rsidRPr="000B793A" w:rsidRDefault="00994E8F" w:rsidP="00F104F3">
      <w:pPr>
        <w:ind w:right="49"/>
        <w:jc w:val="both"/>
        <w:rPr>
          <w:rFonts w:ascii="Arial Narrow" w:hAnsi="Arial Narrow" w:cs="Calibri"/>
          <w:sz w:val="20"/>
          <w:szCs w:val="20"/>
        </w:rPr>
      </w:pPr>
      <w:r>
        <w:rPr>
          <w:rFonts w:ascii="Arial Narrow" w:hAnsi="Arial Narrow" w:cs="Calibri"/>
          <w:bCs/>
          <w:sz w:val="20"/>
          <w:szCs w:val="20"/>
          <w:lang w:eastAsia="es-CO"/>
        </w:rPr>
        <w:t>Para resumir</w:t>
      </w:r>
      <w:r w:rsidR="00F104F3">
        <w:rPr>
          <w:rFonts w:ascii="Arial Narrow" w:hAnsi="Arial Narrow" w:cs="Calibri"/>
          <w:bCs/>
          <w:sz w:val="20"/>
          <w:szCs w:val="20"/>
          <w:lang w:eastAsia="es-CO"/>
        </w:rPr>
        <w:t xml:space="preserve">, el fundamento normativo de la propuesta de modificación se encuentra contenido en </w:t>
      </w:r>
      <w:r w:rsidR="00F104F3" w:rsidRPr="000B793A">
        <w:rPr>
          <w:rFonts w:ascii="Arial Narrow" w:hAnsi="Arial Narrow" w:cs="Calibri"/>
          <w:sz w:val="20"/>
          <w:szCs w:val="20"/>
        </w:rPr>
        <w:t xml:space="preserve">el Decreto Único Reglamentario del Sector Administrativo de Minas y Energía No. 1073 de 2015, en su </w:t>
      </w:r>
      <w:proofErr w:type="spellStart"/>
      <w:r w:rsidR="00F104F3" w:rsidRPr="000B793A">
        <w:rPr>
          <w:rFonts w:ascii="Arial Narrow" w:hAnsi="Arial Narrow" w:cs="Calibri"/>
          <w:sz w:val="20"/>
          <w:szCs w:val="20"/>
        </w:rPr>
        <w:t>Titulo</w:t>
      </w:r>
      <w:proofErr w:type="spellEnd"/>
      <w:r w:rsidR="00F104F3" w:rsidRPr="000B793A">
        <w:rPr>
          <w:rFonts w:ascii="Arial Narrow" w:hAnsi="Arial Narrow" w:cs="Calibri"/>
          <w:sz w:val="20"/>
          <w:szCs w:val="20"/>
        </w:rPr>
        <w:t xml:space="preserve"> V, Capítulo 4, sección 3, </w:t>
      </w:r>
      <w:r w:rsidR="00F104F3" w:rsidRPr="000B793A">
        <w:rPr>
          <w:rFonts w:ascii="Arial Narrow" w:hAnsi="Arial Narrow" w:cs="Calibri"/>
          <w:sz w:val="20"/>
          <w:szCs w:val="20"/>
        </w:rPr>
        <w:lastRenderedPageBreak/>
        <w:t>artículo 2.2.5.4.3., el parágrafo 1 del artículo 5° de la Ley 2250 del 11 de Julio de 2022 y el artículo 20 de la Ley 1753 de 2015.</w:t>
      </w:r>
    </w:p>
    <w:p w14:paraId="612E625E" w14:textId="77777777" w:rsidR="00620DC2" w:rsidRPr="00D467D5" w:rsidRDefault="00620DC2" w:rsidP="00BB409E">
      <w:pPr>
        <w:ind w:right="49"/>
        <w:jc w:val="both"/>
        <w:rPr>
          <w:rFonts w:ascii="Arial Narrow" w:hAnsi="Arial Narrow" w:cs="Calibri"/>
          <w:bCs/>
          <w:sz w:val="20"/>
          <w:szCs w:val="20"/>
          <w:lang w:eastAsia="es-CO"/>
        </w:rPr>
      </w:pPr>
    </w:p>
    <w:p w14:paraId="5697ABE6" w14:textId="77777777" w:rsidR="00AB3C50" w:rsidRPr="00FB7651" w:rsidRDefault="00AB3C50" w:rsidP="00BB409E">
      <w:pPr>
        <w:ind w:right="49"/>
        <w:jc w:val="both"/>
        <w:rPr>
          <w:rFonts w:ascii="Arial Narrow" w:hAnsi="Arial Narrow" w:cs="Calibri"/>
          <w:bCs/>
          <w:sz w:val="20"/>
          <w:szCs w:val="20"/>
          <w:lang w:eastAsia="es-CO"/>
        </w:rPr>
      </w:pPr>
    </w:p>
    <w:p w14:paraId="25D4730E" w14:textId="77777777" w:rsidR="00900692" w:rsidRPr="0094553C" w:rsidRDefault="00361057" w:rsidP="00BB409E">
      <w:pPr>
        <w:pStyle w:val="Cuadrculamedia1-nfasis21"/>
        <w:numPr>
          <w:ilvl w:val="0"/>
          <w:numId w:val="2"/>
        </w:numPr>
        <w:spacing w:after="0" w:line="240" w:lineRule="auto"/>
        <w:ind w:left="426" w:right="49"/>
        <w:rPr>
          <w:rFonts w:ascii="Arial Narrow" w:hAnsi="Arial Narrow" w:cs="Calibri"/>
          <w:b/>
          <w:sz w:val="20"/>
          <w:szCs w:val="20"/>
        </w:rPr>
      </w:pPr>
      <w:r w:rsidRPr="0094553C">
        <w:rPr>
          <w:rFonts w:ascii="Arial Narrow" w:hAnsi="Arial Narrow" w:cs="Calibri"/>
          <w:b/>
          <w:sz w:val="20"/>
          <w:szCs w:val="20"/>
          <w:u w:val="single"/>
        </w:rPr>
        <w:t>Otras dependencias que participan</w:t>
      </w:r>
      <w:r w:rsidRPr="0094553C">
        <w:rPr>
          <w:rFonts w:ascii="Arial Narrow" w:hAnsi="Arial Narrow" w:cs="Calibri"/>
          <w:b/>
          <w:sz w:val="20"/>
          <w:szCs w:val="20"/>
        </w:rPr>
        <w:t>.</w:t>
      </w:r>
    </w:p>
    <w:p w14:paraId="2839B0F4" w14:textId="77777777" w:rsidR="00D467D5" w:rsidRPr="0094553C" w:rsidRDefault="00D467D5" w:rsidP="00BB409E">
      <w:pPr>
        <w:ind w:right="49"/>
        <w:rPr>
          <w:rFonts w:ascii="Arial Narrow" w:hAnsi="Arial Narrow" w:cs="Calibri"/>
          <w:sz w:val="20"/>
          <w:szCs w:val="20"/>
        </w:rPr>
      </w:pPr>
    </w:p>
    <w:p w14:paraId="25D47311" w14:textId="1FFC9AEF" w:rsidR="00900692" w:rsidRPr="0094553C" w:rsidRDefault="00A316F7" w:rsidP="0094553C">
      <w:pPr>
        <w:ind w:right="49"/>
        <w:rPr>
          <w:rFonts w:ascii="Arial Narrow" w:hAnsi="Arial Narrow" w:cs="Calibri"/>
          <w:sz w:val="20"/>
          <w:szCs w:val="20"/>
        </w:rPr>
      </w:pPr>
      <w:r w:rsidRPr="0094553C">
        <w:rPr>
          <w:rFonts w:ascii="Arial Narrow" w:hAnsi="Arial Narrow" w:cs="Calibri"/>
          <w:sz w:val="20"/>
          <w:szCs w:val="20"/>
        </w:rPr>
        <w:t>N/A</w:t>
      </w:r>
    </w:p>
    <w:p w14:paraId="0F6CA46C" w14:textId="77777777" w:rsidR="00AB3C50" w:rsidRPr="0094553C" w:rsidRDefault="00AB3C50" w:rsidP="00BB409E">
      <w:pPr>
        <w:ind w:right="49" w:firstLine="426"/>
        <w:rPr>
          <w:rFonts w:ascii="Arial Narrow" w:hAnsi="Arial Narrow" w:cs="Calibri"/>
          <w:sz w:val="20"/>
          <w:szCs w:val="20"/>
        </w:rPr>
      </w:pPr>
    </w:p>
    <w:p w14:paraId="25D47312" w14:textId="77777777" w:rsidR="00900692" w:rsidRPr="0094553C" w:rsidRDefault="00361057" w:rsidP="00BB409E">
      <w:pPr>
        <w:pStyle w:val="Cuadrculamedia1-nfasis21"/>
        <w:numPr>
          <w:ilvl w:val="0"/>
          <w:numId w:val="2"/>
        </w:numPr>
        <w:spacing w:after="0" w:line="240" w:lineRule="auto"/>
        <w:ind w:left="426" w:right="49"/>
        <w:rPr>
          <w:rFonts w:ascii="Arial Narrow" w:hAnsi="Arial Narrow" w:cs="Calibri"/>
          <w:b/>
          <w:sz w:val="20"/>
          <w:szCs w:val="20"/>
          <w:u w:val="single"/>
        </w:rPr>
      </w:pPr>
      <w:r w:rsidRPr="0094553C">
        <w:rPr>
          <w:rFonts w:ascii="Arial Narrow" w:hAnsi="Arial Narrow" w:cs="Calibri"/>
          <w:b/>
          <w:sz w:val="20"/>
          <w:szCs w:val="20"/>
          <w:u w:val="single"/>
        </w:rPr>
        <w:t>Actores externos identificados.</w:t>
      </w:r>
    </w:p>
    <w:p w14:paraId="25D47313" w14:textId="77777777" w:rsidR="00900692" w:rsidRPr="0094553C" w:rsidRDefault="00900692" w:rsidP="00BB409E">
      <w:pPr>
        <w:pStyle w:val="Cuadrculamedia1-nfasis21"/>
        <w:spacing w:after="0" w:line="240" w:lineRule="auto"/>
        <w:ind w:left="426" w:right="49"/>
        <w:rPr>
          <w:rFonts w:ascii="Arial Narrow" w:hAnsi="Arial Narrow" w:cs="Calibri"/>
          <w:b/>
          <w:sz w:val="20"/>
          <w:szCs w:val="20"/>
        </w:rPr>
      </w:pPr>
    </w:p>
    <w:p w14:paraId="3A0F65B2" w14:textId="326AAA90" w:rsidR="00FB7651" w:rsidRPr="0094553C" w:rsidRDefault="00FB7651" w:rsidP="0094553C">
      <w:pPr>
        <w:ind w:right="49"/>
        <w:jc w:val="both"/>
        <w:rPr>
          <w:rFonts w:ascii="Arial Narrow" w:hAnsi="Arial Narrow" w:cs="Calibri"/>
          <w:b/>
          <w:bCs/>
          <w:sz w:val="20"/>
          <w:szCs w:val="20"/>
          <w:lang w:eastAsia="es-CO"/>
        </w:rPr>
      </w:pPr>
      <w:r w:rsidRPr="0094553C">
        <w:rPr>
          <w:rFonts w:ascii="Arial Narrow" w:hAnsi="Arial Narrow" w:cs="Calibri"/>
          <w:bCs/>
          <w:sz w:val="20"/>
          <w:szCs w:val="20"/>
          <w:lang w:eastAsia="es-CO"/>
        </w:rPr>
        <w:t xml:space="preserve">Por ser la resolución un acto administrativo de carácter </w:t>
      </w:r>
      <w:proofErr w:type="gramStart"/>
      <w:r w:rsidRPr="0094553C">
        <w:rPr>
          <w:rFonts w:ascii="Arial Narrow" w:hAnsi="Arial Narrow" w:cs="Calibri"/>
          <w:bCs/>
          <w:sz w:val="20"/>
          <w:szCs w:val="20"/>
          <w:lang w:eastAsia="es-CO"/>
        </w:rPr>
        <w:t>general,</w:t>
      </w:r>
      <w:proofErr w:type="gramEnd"/>
      <w:r w:rsidRPr="0094553C">
        <w:rPr>
          <w:rFonts w:ascii="Arial Narrow" w:hAnsi="Arial Narrow" w:cs="Calibri"/>
          <w:bCs/>
          <w:sz w:val="20"/>
          <w:szCs w:val="20"/>
          <w:lang w:eastAsia="es-CO"/>
        </w:rPr>
        <w:t xml:space="preserve"> involucra a los siguientes actores externos:  </w:t>
      </w:r>
    </w:p>
    <w:p w14:paraId="25D47315" w14:textId="77777777" w:rsidR="00900692" w:rsidRPr="0094553C" w:rsidRDefault="00900692" w:rsidP="0094553C">
      <w:pPr>
        <w:ind w:right="49"/>
        <w:jc w:val="both"/>
        <w:rPr>
          <w:rFonts w:ascii="Arial Narrow" w:hAnsi="Arial Narrow" w:cs="Calibri"/>
          <w:bCs/>
          <w:sz w:val="20"/>
          <w:szCs w:val="20"/>
          <w:lang w:eastAsia="es-CO"/>
        </w:rPr>
      </w:pPr>
    </w:p>
    <w:p w14:paraId="4670FF51" w14:textId="2768E336" w:rsidR="0096633E" w:rsidRPr="0094553C" w:rsidRDefault="0096633E" w:rsidP="0094553C">
      <w:pPr>
        <w:pStyle w:val="Prrafodelista"/>
        <w:numPr>
          <w:ilvl w:val="0"/>
          <w:numId w:val="10"/>
        </w:numPr>
        <w:ind w:right="49"/>
        <w:jc w:val="both"/>
        <w:rPr>
          <w:rFonts w:ascii="Arial Narrow" w:hAnsi="Arial Narrow" w:cs="Calibri"/>
          <w:bCs/>
          <w:sz w:val="20"/>
          <w:szCs w:val="20"/>
          <w:lang w:eastAsia="es-CO"/>
        </w:rPr>
      </w:pPr>
      <w:r w:rsidRPr="0094553C">
        <w:rPr>
          <w:rFonts w:ascii="Arial Narrow" w:hAnsi="Arial Narrow" w:cs="Calibri"/>
          <w:bCs/>
          <w:sz w:val="20"/>
          <w:szCs w:val="20"/>
          <w:lang w:eastAsia="es-CO"/>
        </w:rPr>
        <w:t>Proponentes de concesión minera.</w:t>
      </w:r>
    </w:p>
    <w:p w14:paraId="47B71265" w14:textId="0CC3967D" w:rsidR="0096633E" w:rsidRPr="0094553C" w:rsidRDefault="0096633E" w:rsidP="0094553C">
      <w:pPr>
        <w:pStyle w:val="Prrafodelista"/>
        <w:numPr>
          <w:ilvl w:val="0"/>
          <w:numId w:val="10"/>
        </w:numPr>
        <w:ind w:right="49"/>
        <w:jc w:val="both"/>
        <w:rPr>
          <w:rFonts w:ascii="Arial Narrow" w:hAnsi="Arial Narrow" w:cs="Calibri"/>
          <w:bCs/>
          <w:sz w:val="20"/>
          <w:szCs w:val="20"/>
          <w:lang w:eastAsia="es-CO"/>
        </w:rPr>
      </w:pPr>
      <w:r w:rsidRPr="0094553C">
        <w:rPr>
          <w:rFonts w:ascii="Arial Narrow" w:hAnsi="Arial Narrow" w:cs="Calibri"/>
          <w:bCs/>
          <w:sz w:val="20"/>
          <w:szCs w:val="20"/>
          <w:lang w:eastAsia="es-CO"/>
        </w:rPr>
        <w:t>Proponentes de concesión minera con requisitos diferenciales, con excepción de las provenientes de devoluciones de áreas para formalización minera con beneficiario directo y para las que recaigan sobre Áreas de Reserva Estratégica Minera para la Formalización.</w:t>
      </w:r>
    </w:p>
    <w:p w14:paraId="25D47316" w14:textId="49F9E0DA" w:rsidR="00900692" w:rsidRPr="0094553C" w:rsidRDefault="0096633E" w:rsidP="0094553C">
      <w:pPr>
        <w:pStyle w:val="Prrafodelista"/>
        <w:numPr>
          <w:ilvl w:val="0"/>
          <w:numId w:val="10"/>
        </w:numPr>
        <w:ind w:right="49"/>
        <w:jc w:val="both"/>
        <w:rPr>
          <w:rFonts w:ascii="Arial Narrow" w:hAnsi="Arial Narrow" w:cs="Calibri"/>
          <w:bCs/>
          <w:sz w:val="20"/>
          <w:szCs w:val="20"/>
          <w:lang w:eastAsia="es-CO"/>
        </w:rPr>
      </w:pPr>
      <w:r w:rsidRPr="0094553C">
        <w:rPr>
          <w:rFonts w:ascii="Arial Narrow" w:hAnsi="Arial Narrow" w:cs="Calibri"/>
          <w:bCs/>
          <w:sz w:val="20"/>
          <w:szCs w:val="20"/>
          <w:lang w:eastAsia="es-CO"/>
        </w:rPr>
        <w:t>Solicitudes de licencias de exploración.</w:t>
      </w:r>
    </w:p>
    <w:p w14:paraId="4646DDAA" w14:textId="77777777" w:rsidR="0096633E" w:rsidRPr="00D467D5" w:rsidRDefault="0096633E" w:rsidP="0094553C">
      <w:pPr>
        <w:pStyle w:val="Cuadrculamedia1-nfasis21"/>
        <w:spacing w:after="0" w:line="240" w:lineRule="auto"/>
        <w:ind w:left="0" w:right="49"/>
        <w:jc w:val="both"/>
        <w:rPr>
          <w:rFonts w:ascii="Arial Narrow" w:hAnsi="Arial Narrow" w:cs="Calibri"/>
          <w:sz w:val="20"/>
          <w:szCs w:val="20"/>
        </w:rPr>
      </w:pPr>
    </w:p>
    <w:p w14:paraId="6E30B7A7" w14:textId="77777777" w:rsidR="00AB3C50" w:rsidRPr="00D467D5" w:rsidRDefault="00AB3C50" w:rsidP="00BB409E">
      <w:pPr>
        <w:pStyle w:val="Cuadrculamedia1-nfasis21"/>
        <w:spacing w:after="0" w:line="240" w:lineRule="auto"/>
        <w:ind w:left="66" w:right="49"/>
        <w:jc w:val="both"/>
        <w:rPr>
          <w:rFonts w:ascii="Arial Narrow" w:hAnsi="Arial Narrow" w:cs="Calibri"/>
          <w:sz w:val="20"/>
          <w:szCs w:val="20"/>
        </w:rPr>
      </w:pPr>
    </w:p>
    <w:p w14:paraId="25D4731B" w14:textId="77777777" w:rsidR="00900692" w:rsidRPr="0094553C" w:rsidRDefault="00361057" w:rsidP="00BB409E">
      <w:pPr>
        <w:pStyle w:val="Cuadrculamedia1-nfasis21"/>
        <w:numPr>
          <w:ilvl w:val="0"/>
          <w:numId w:val="2"/>
        </w:numPr>
        <w:spacing w:after="0" w:line="240" w:lineRule="auto"/>
        <w:ind w:left="426" w:right="49"/>
        <w:rPr>
          <w:rFonts w:ascii="Arial Narrow" w:hAnsi="Arial Narrow" w:cs="Calibri"/>
          <w:b/>
          <w:sz w:val="20"/>
          <w:szCs w:val="20"/>
          <w:u w:val="single"/>
        </w:rPr>
      </w:pPr>
      <w:r w:rsidRPr="0094553C">
        <w:rPr>
          <w:rFonts w:ascii="Arial Narrow" w:hAnsi="Arial Narrow" w:cs="Calibri"/>
          <w:b/>
          <w:sz w:val="20"/>
          <w:szCs w:val="20"/>
          <w:u w:val="single"/>
        </w:rPr>
        <w:t>Antecedentes, razones de oportunidad y conveniencia que justifican su expedición.</w:t>
      </w:r>
    </w:p>
    <w:p w14:paraId="25D4731C" w14:textId="77777777" w:rsidR="00900692" w:rsidRPr="0094553C" w:rsidRDefault="00900692" w:rsidP="00BB409E">
      <w:pPr>
        <w:pStyle w:val="Cuadrculamedia1-nfasis21"/>
        <w:spacing w:after="0" w:line="240" w:lineRule="auto"/>
        <w:ind w:right="49"/>
        <w:jc w:val="both"/>
        <w:rPr>
          <w:rFonts w:ascii="Arial Narrow" w:hAnsi="Arial Narrow" w:cs="Calibri"/>
          <w:sz w:val="20"/>
          <w:szCs w:val="20"/>
        </w:rPr>
      </w:pPr>
    </w:p>
    <w:p w14:paraId="3FEEABDA" w14:textId="6AA984D4" w:rsidR="00C50C7E" w:rsidRPr="00D467D5" w:rsidRDefault="00C50C7E" w:rsidP="00BB409E">
      <w:pPr>
        <w:ind w:right="49"/>
        <w:jc w:val="both"/>
        <w:rPr>
          <w:rFonts w:ascii="Arial Narrow" w:hAnsi="Arial Narrow" w:cs="Calibri"/>
          <w:bCs/>
          <w:sz w:val="20"/>
          <w:szCs w:val="20"/>
          <w:lang w:eastAsia="es-CO"/>
        </w:rPr>
      </w:pPr>
      <w:r w:rsidRPr="00FB7651">
        <w:rPr>
          <w:rFonts w:ascii="Arial Narrow" w:hAnsi="Arial Narrow" w:cs="Calibri"/>
          <w:bCs/>
          <w:sz w:val="20"/>
          <w:szCs w:val="20"/>
          <w:lang w:eastAsia="es-CO"/>
        </w:rPr>
        <w:t>E</w:t>
      </w:r>
      <w:r w:rsidRPr="00D467D5">
        <w:rPr>
          <w:rFonts w:ascii="Arial Narrow" w:hAnsi="Arial Narrow" w:cs="Calibri"/>
          <w:bCs/>
          <w:sz w:val="20"/>
          <w:szCs w:val="20"/>
          <w:lang w:eastAsia="es-CO"/>
        </w:rPr>
        <w:t>l artículo 209 de la Constitución Política,</w:t>
      </w:r>
      <w:r w:rsidR="00A4368F">
        <w:rPr>
          <w:rFonts w:ascii="Arial Narrow" w:hAnsi="Arial Narrow" w:cs="Calibri"/>
          <w:bCs/>
          <w:sz w:val="20"/>
          <w:szCs w:val="20"/>
          <w:lang w:eastAsia="es-CO"/>
        </w:rPr>
        <w:t xml:space="preserve"> establece que</w:t>
      </w:r>
      <w:r w:rsidRPr="00D467D5">
        <w:rPr>
          <w:rFonts w:ascii="Arial Narrow" w:hAnsi="Arial Narrow" w:cs="Calibri"/>
          <w:bCs/>
          <w:sz w:val="20"/>
          <w:szCs w:val="20"/>
          <w:lang w:eastAsia="es-CO"/>
        </w:rPr>
        <w:t xml:space="preserve"> la función administrativa está al servicio de los intereses generales y se desarrolla con fundamento en los principios de igualdad, moralidad, eficiencia, economía, celeridad, imparcialidad y publicidad, mediante la descentralización, la delegación y la desconcentración de funciones.</w:t>
      </w:r>
    </w:p>
    <w:p w14:paraId="42439E91" w14:textId="77777777" w:rsidR="00C50C7E" w:rsidRPr="00D467D5" w:rsidRDefault="00C50C7E" w:rsidP="00BB409E">
      <w:pPr>
        <w:ind w:right="49"/>
        <w:jc w:val="both"/>
        <w:rPr>
          <w:rFonts w:ascii="Arial Narrow" w:hAnsi="Arial Narrow" w:cs="Calibri"/>
          <w:bCs/>
          <w:sz w:val="20"/>
          <w:szCs w:val="20"/>
          <w:lang w:eastAsia="es-CO"/>
        </w:rPr>
      </w:pPr>
    </w:p>
    <w:p w14:paraId="3726E862" w14:textId="0459BB52" w:rsidR="00C50C7E" w:rsidRPr="00D467D5" w:rsidRDefault="00C50C7E" w:rsidP="00BB409E">
      <w:pPr>
        <w:ind w:right="49"/>
        <w:jc w:val="both"/>
        <w:rPr>
          <w:rFonts w:ascii="Arial Narrow" w:hAnsi="Arial Narrow" w:cs="Calibri"/>
          <w:bCs/>
          <w:sz w:val="20"/>
          <w:szCs w:val="20"/>
          <w:lang w:eastAsia="es-CO"/>
        </w:rPr>
      </w:pPr>
      <w:r w:rsidRPr="00D467D5">
        <w:rPr>
          <w:rFonts w:ascii="Arial Narrow" w:hAnsi="Arial Narrow" w:cs="Calibri"/>
          <w:bCs/>
          <w:sz w:val="20"/>
          <w:szCs w:val="20"/>
          <w:lang w:eastAsia="es-CO"/>
        </w:rPr>
        <w:t>Igualme</w:t>
      </w:r>
      <w:r w:rsidRPr="00A4368F">
        <w:rPr>
          <w:rFonts w:ascii="Arial Narrow" w:hAnsi="Arial Narrow" w:cs="Calibri"/>
          <w:bCs/>
          <w:sz w:val="20"/>
          <w:szCs w:val="20"/>
          <w:lang w:eastAsia="es-CO"/>
        </w:rPr>
        <w:t>nte</w:t>
      </w:r>
      <w:r w:rsidR="00A4368F">
        <w:rPr>
          <w:rFonts w:ascii="Arial Narrow" w:hAnsi="Arial Narrow" w:cs="Calibri"/>
          <w:bCs/>
          <w:sz w:val="20"/>
          <w:szCs w:val="20"/>
          <w:lang w:eastAsia="es-CO"/>
        </w:rPr>
        <w:t>,</w:t>
      </w:r>
      <w:r w:rsidRPr="00D467D5">
        <w:rPr>
          <w:rFonts w:ascii="Arial Narrow" w:hAnsi="Arial Narrow" w:cs="Calibri"/>
          <w:bCs/>
          <w:sz w:val="20"/>
          <w:szCs w:val="20"/>
          <w:lang w:eastAsia="es-CO"/>
        </w:rPr>
        <w:t xml:space="preserve"> el artículo 288 de la Constitución Política prevé que las competencias atribuidas a los distintos niveles territoriales serán ejercidas conforme a los principios de coordinación, concurrencia y subsidiariedad en los términos que establezca la ley.</w:t>
      </w:r>
    </w:p>
    <w:p w14:paraId="589FFED7" w14:textId="77777777" w:rsidR="00C50C7E" w:rsidRPr="00D467D5" w:rsidRDefault="00C50C7E" w:rsidP="00BB409E">
      <w:pPr>
        <w:ind w:right="49"/>
        <w:jc w:val="both"/>
        <w:rPr>
          <w:rFonts w:ascii="Arial Narrow" w:hAnsi="Arial Narrow" w:cs="Calibri"/>
          <w:bCs/>
          <w:sz w:val="20"/>
          <w:szCs w:val="20"/>
          <w:lang w:eastAsia="es-CO"/>
        </w:rPr>
      </w:pPr>
    </w:p>
    <w:p w14:paraId="0D00765E" w14:textId="3A538EBD" w:rsidR="00C50C7E" w:rsidRPr="00D467D5" w:rsidRDefault="00C50C7E" w:rsidP="00BB409E">
      <w:pPr>
        <w:ind w:right="49"/>
        <w:jc w:val="both"/>
        <w:rPr>
          <w:rFonts w:ascii="Arial Narrow" w:hAnsi="Arial Narrow" w:cs="Calibri"/>
          <w:bCs/>
          <w:sz w:val="20"/>
          <w:szCs w:val="20"/>
          <w:lang w:eastAsia="es-CO"/>
        </w:rPr>
      </w:pPr>
      <w:r w:rsidRPr="00FB7651">
        <w:rPr>
          <w:rFonts w:ascii="Arial Narrow" w:hAnsi="Arial Narrow" w:cs="Calibri"/>
          <w:bCs/>
          <w:sz w:val="20"/>
          <w:szCs w:val="20"/>
          <w:lang w:eastAsia="es-CO"/>
        </w:rPr>
        <w:t>A través de Sentencia C-389 de 2016 proferida por la Corte Constitucional, en el numeral segundo de su parte resolutiva, declaró exequibles los artículos 16, 53, 270 y 271 de la Ley 685 de 2001, condicionada su constitucionalidad a la verificación de mínimos de idoneidad laboral y ambiental, así como</w:t>
      </w:r>
      <w:r w:rsidR="00A4368F">
        <w:rPr>
          <w:rFonts w:ascii="Arial Narrow" w:hAnsi="Arial Narrow" w:cs="Calibri"/>
          <w:bCs/>
          <w:sz w:val="20"/>
          <w:szCs w:val="20"/>
          <w:lang w:eastAsia="es-CO"/>
        </w:rPr>
        <w:t>, al</w:t>
      </w:r>
      <w:r w:rsidRPr="00D467D5">
        <w:rPr>
          <w:rFonts w:ascii="Arial Narrow" w:hAnsi="Arial Narrow" w:cs="Calibri"/>
          <w:bCs/>
          <w:sz w:val="20"/>
          <w:szCs w:val="20"/>
          <w:lang w:eastAsia="es-CO"/>
        </w:rPr>
        <w:t xml:space="preserve"> adelantar un procedimiento que asegur</w:t>
      </w:r>
      <w:r w:rsidR="00A4368F">
        <w:rPr>
          <w:rFonts w:ascii="Arial Narrow" w:hAnsi="Arial Narrow" w:cs="Calibri"/>
          <w:bCs/>
          <w:sz w:val="20"/>
          <w:szCs w:val="20"/>
          <w:lang w:eastAsia="es-CO"/>
        </w:rPr>
        <w:t>ara</w:t>
      </w:r>
      <w:r w:rsidRPr="00D467D5">
        <w:rPr>
          <w:rFonts w:ascii="Arial Narrow" w:hAnsi="Arial Narrow" w:cs="Calibri"/>
          <w:bCs/>
          <w:sz w:val="20"/>
          <w:szCs w:val="20"/>
          <w:lang w:eastAsia="es-CO"/>
        </w:rPr>
        <w:t xml:space="preserve"> la participación ciudadana, sin perjuicio de la participación especial de los grupos étnicamente diferenciados, señalando la obligación dentro del trámite de titulación minera de involucrar las audiencias de participación ciudadana.</w:t>
      </w:r>
    </w:p>
    <w:p w14:paraId="65C9BC14" w14:textId="77777777" w:rsidR="00C50C7E" w:rsidRPr="00D467D5" w:rsidRDefault="00C50C7E" w:rsidP="00BB409E">
      <w:pPr>
        <w:ind w:right="49"/>
        <w:jc w:val="both"/>
        <w:rPr>
          <w:rFonts w:ascii="Arial Narrow" w:hAnsi="Arial Narrow" w:cs="Calibri"/>
          <w:bCs/>
          <w:sz w:val="20"/>
          <w:szCs w:val="20"/>
          <w:lang w:eastAsia="es-CO"/>
        </w:rPr>
      </w:pPr>
    </w:p>
    <w:p w14:paraId="0741337F" w14:textId="6CC655BE" w:rsidR="00C50C7E" w:rsidRPr="00FB7651" w:rsidRDefault="00C50C7E" w:rsidP="00BB409E">
      <w:pPr>
        <w:ind w:right="49"/>
        <w:jc w:val="both"/>
        <w:rPr>
          <w:rFonts w:ascii="Arial Narrow" w:hAnsi="Arial Narrow" w:cs="Calibri"/>
          <w:bCs/>
          <w:sz w:val="20"/>
          <w:szCs w:val="20"/>
          <w:lang w:eastAsia="es-CO"/>
        </w:rPr>
      </w:pPr>
      <w:r w:rsidRPr="00D467D5">
        <w:rPr>
          <w:rFonts w:ascii="Arial Narrow" w:hAnsi="Arial Narrow" w:cs="Calibri"/>
          <w:bCs/>
          <w:sz w:val="20"/>
          <w:szCs w:val="20"/>
          <w:lang w:eastAsia="es-CO"/>
        </w:rPr>
        <w:t xml:space="preserve">En </w:t>
      </w:r>
      <w:proofErr w:type="gramStart"/>
      <w:r w:rsidRPr="00D467D5">
        <w:rPr>
          <w:rFonts w:ascii="Arial Narrow" w:hAnsi="Arial Narrow" w:cs="Calibri"/>
          <w:bCs/>
          <w:sz w:val="20"/>
          <w:szCs w:val="20"/>
          <w:lang w:eastAsia="es-CO"/>
        </w:rPr>
        <w:t>consecuencia</w:t>
      </w:r>
      <w:proofErr w:type="gramEnd"/>
      <w:r w:rsidRPr="00D467D5">
        <w:rPr>
          <w:rFonts w:ascii="Arial Narrow" w:hAnsi="Arial Narrow" w:cs="Calibri"/>
          <w:bCs/>
          <w:sz w:val="20"/>
          <w:szCs w:val="20"/>
          <w:lang w:eastAsia="es-CO"/>
        </w:rPr>
        <w:t xml:space="preserve"> de lo anterior, la Agencia Nacional de Minería diseñó e implementó un </w:t>
      </w:r>
      <w:r w:rsidR="00BB409E" w:rsidRPr="00D467D5">
        <w:rPr>
          <w:rFonts w:ascii="Arial Narrow" w:hAnsi="Arial Narrow" w:cs="Calibri"/>
          <w:bCs/>
          <w:sz w:val="20"/>
          <w:szCs w:val="20"/>
          <w:lang w:eastAsia="es-CO"/>
        </w:rPr>
        <w:t xml:space="preserve">Programa de Relacionamiento en Territorio dentro del proceso de contratación minera, con el objetivo principal de </w:t>
      </w:r>
      <w:r w:rsidR="00BB409E" w:rsidRPr="00FB7651">
        <w:rPr>
          <w:rFonts w:ascii="Arial Narrow" w:hAnsi="Arial Narrow" w:cs="Calibri"/>
          <w:bCs/>
          <w:sz w:val="20"/>
          <w:szCs w:val="20"/>
          <w:lang w:eastAsia="es-CO"/>
        </w:rPr>
        <w:t>lograr una relación eficaz, oportuna y permanente con los actores estratégicos en el desarrollo de proyectos mineros, comunidades y entes territoriales, previo al otorgamiento de un proyecto minero</w:t>
      </w:r>
      <w:r w:rsidRPr="00FB7651">
        <w:rPr>
          <w:rFonts w:ascii="Arial Narrow" w:hAnsi="Arial Narrow" w:cs="Calibri"/>
          <w:bCs/>
          <w:sz w:val="20"/>
          <w:szCs w:val="20"/>
          <w:lang w:eastAsia="es-CO"/>
        </w:rPr>
        <w:t>.</w:t>
      </w:r>
    </w:p>
    <w:p w14:paraId="6B6135A6" w14:textId="77777777" w:rsidR="00C50C7E" w:rsidRPr="00FB7651" w:rsidRDefault="00C50C7E" w:rsidP="00BB409E">
      <w:pPr>
        <w:ind w:right="49"/>
        <w:jc w:val="both"/>
        <w:rPr>
          <w:rFonts w:ascii="Arial Narrow" w:hAnsi="Arial Narrow" w:cs="Calibri"/>
          <w:bCs/>
          <w:sz w:val="20"/>
          <w:szCs w:val="20"/>
          <w:lang w:eastAsia="es-CO"/>
        </w:rPr>
      </w:pPr>
    </w:p>
    <w:p w14:paraId="0B540915" w14:textId="2C96F0F7" w:rsidR="00C50C7E" w:rsidRDefault="00C50C7E" w:rsidP="00BB409E">
      <w:pPr>
        <w:ind w:right="49"/>
        <w:jc w:val="both"/>
        <w:rPr>
          <w:rFonts w:ascii="Arial Narrow" w:hAnsi="Arial Narrow" w:cs="Calibri"/>
          <w:bCs/>
          <w:sz w:val="20"/>
          <w:szCs w:val="20"/>
          <w:lang w:eastAsia="es-CO"/>
        </w:rPr>
      </w:pPr>
      <w:r w:rsidRPr="00FB7651">
        <w:rPr>
          <w:rFonts w:ascii="Arial Narrow" w:hAnsi="Arial Narrow" w:cs="Calibri"/>
          <w:bCs/>
          <w:sz w:val="20"/>
          <w:szCs w:val="20"/>
          <w:lang w:eastAsia="es-CO"/>
        </w:rPr>
        <w:t>El 25 de septiembre de 2017 se adoptó el Instructivo de celebración de audiencia, con el fin de informar a la comunidad sobre las solicitudes de propuestas de contrato de concesión, el cual fue modificado el 7 de diciembre de 2017 y se encuentra codificado con el No. MIS3-P-001-I-006 en el sistema de gestión de calidad de la entidad; de otro lado, se diseñó el Instructivo de concertación con el fin de dar aplicación al principio de coordinación y concurrencia con las autoridades locales, el cual se encuentra codificado con el No. MIS3-P-001-I-007 en el mismo sistema.</w:t>
      </w:r>
    </w:p>
    <w:p w14:paraId="35A6EF00" w14:textId="77777777" w:rsidR="00A4368F" w:rsidRPr="00D467D5" w:rsidRDefault="00A4368F" w:rsidP="00BB409E">
      <w:pPr>
        <w:ind w:right="49"/>
        <w:jc w:val="both"/>
        <w:rPr>
          <w:rFonts w:ascii="Arial Narrow" w:hAnsi="Arial Narrow" w:cs="Calibri"/>
          <w:bCs/>
          <w:sz w:val="20"/>
          <w:szCs w:val="20"/>
          <w:lang w:eastAsia="es-CO"/>
        </w:rPr>
      </w:pPr>
    </w:p>
    <w:p w14:paraId="73F5DD75" w14:textId="5207D7F2" w:rsidR="00C50C7E" w:rsidRPr="00D467D5" w:rsidRDefault="00C50C7E" w:rsidP="00BB409E">
      <w:pPr>
        <w:ind w:right="49"/>
        <w:jc w:val="both"/>
        <w:rPr>
          <w:rFonts w:ascii="Arial Narrow" w:hAnsi="Arial Narrow" w:cs="Calibri"/>
          <w:bCs/>
          <w:sz w:val="20"/>
          <w:szCs w:val="20"/>
          <w:lang w:eastAsia="es-CO"/>
        </w:rPr>
      </w:pPr>
      <w:r w:rsidRPr="00D467D5">
        <w:rPr>
          <w:rFonts w:ascii="Arial Narrow" w:hAnsi="Arial Narrow" w:cs="Calibri"/>
          <w:bCs/>
          <w:sz w:val="20"/>
          <w:szCs w:val="20"/>
          <w:lang w:eastAsia="es-CO"/>
        </w:rPr>
        <w:t xml:space="preserve">De otro lado, el artículo 259 de la Ley 685 de 2001, señala que en los casos en que dentro del procedimiento que antecede al contrato de concesión deba oírse previamente a terceros, a representantes de las comunidades y a grupos o estamentos </w:t>
      </w:r>
      <w:r w:rsidRPr="00D467D5">
        <w:rPr>
          <w:rFonts w:ascii="Arial Narrow" w:hAnsi="Arial Narrow" w:cs="Calibri"/>
          <w:bCs/>
          <w:sz w:val="20"/>
          <w:szCs w:val="20"/>
          <w:lang w:eastAsia="es-CO"/>
        </w:rPr>
        <w:lastRenderedPageBreak/>
        <w:t>sociales, se buscará que estos reciban real y efectivamente, por los medios apropiados o comunicación de comparecencia dentro de los términos señalados en la Ley, toda la información necesaria.</w:t>
      </w:r>
    </w:p>
    <w:p w14:paraId="3A3DBAEE" w14:textId="77777777" w:rsidR="00C50C7E" w:rsidRPr="00D467D5" w:rsidRDefault="00C50C7E" w:rsidP="00BB409E">
      <w:pPr>
        <w:ind w:right="49"/>
        <w:jc w:val="both"/>
        <w:rPr>
          <w:rFonts w:ascii="Arial Narrow" w:hAnsi="Arial Narrow" w:cs="Calibri"/>
          <w:bCs/>
          <w:sz w:val="20"/>
          <w:szCs w:val="20"/>
          <w:lang w:eastAsia="es-CO"/>
        </w:rPr>
      </w:pPr>
    </w:p>
    <w:p w14:paraId="6D3905D0" w14:textId="3297AB33" w:rsidR="00C50C7E" w:rsidRPr="00D467D5" w:rsidRDefault="00AD011F" w:rsidP="00BB409E">
      <w:pPr>
        <w:ind w:right="49"/>
        <w:jc w:val="both"/>
        <w:rPr>
          <w:rFonts w:ascii="Arial Narrow" w:hAnsi="Arial Narrow" w:cs="Calibri"/>
          <w:bCs/>
          <w:sz w:val="20"/>
          <w:szCs w:val="20"/>
          <w:lang w:eastAsia="es-CO"/>
        </w:rPr>
      </w:pPr>
      <w:r w:rsidRPr="00D467D5">
        <w:rPr>
          <w:rFonts w:ascii="Arial Narrow" w:hAnsi="Arial Narrow" w:cs="Calibri"/>
          <w:bCs/>
          <w:sz w:val="20"/>
          <w:szCs w:val="20"/>
          <w:lang w:eastAsia="es-CO"/>
        </w:rPr>
        <w:t xml:space="preserve">En igual sentido, </w:t>
      </w:r>
      <w:r w:rsidR="00C50C7E" w:rsidRPr="00D467D5">
        <w:rPr>
          <w:rFonts w:ascii="Arial Narrow" w:hAnsi="Arial Narrow" w:cs="Calibri"/>
          <w:bCs/>
          <w:sz w:val="20"/>
          <w:szCs w:val="20"/>
          <w:lang w:eastAsia="es-CO"/>
        </w:rPr>
        <w:t>mediante Sentencia de Unificación</w:t>
      </w:r>
      <w:r w:rsidR="00F104F3">
        <w:rPr>
          <w:rFonts w:ascii="Arial Narrow" w:hAnsi="Arial Narrow" w:cs="Calibri"/>
          <w:bCs/>
          <w:sz w:val="20"/>
          <w:szCs w:val="20"/>
          <w:lang w:eastAsia="es-CO"/>
        </w:rPr>
        <w:t xml:space="preserve"> </w:t>
      </w:r>
      <w:r w:rsidR="00C50C7E" w:rsidRPr="00D467D5">
        <w:rPr>
          <w:rFonts w:ascii="Arial Narrow" w:hAnsi="Arial Narrow" w:cs="Calibri"/>
          <w:bCs/>
          <w:sz w:val="20"/>
          <w:szCs w:val="20"/>
          <w:lang w:eastAsia="es-CO"/>
        </w:rPr>
        <w:t>SU-095 de 2018, la Corte Constitucional fijó criterios para la definición de mecanismos de participación ciudadana e instrumentos de coordinación y concurrencia nación territorio específicos para la explotación del subsuelo y de recursos naturales no renovables –RNNR. En tal sentido ordenó a la Agencia Nacional de Minería mantener y fortalecer los programas y proyectos para robustecer el diálogo, la comunicación y la información con las entidades territoriales y sus autoridades locales, así como aplicar la estrategia de participación ciudadana.</w:t>
      </w:r>
    </w:p>
    <w:p w14:paraId="3FA0F619" w14:textId="77777777" w:rsidR="00C50C7E" w:rsidRPr="00D467D5" w:rsidRDefault="00C50C7E" w:rsidP="00BB409E">
      <w:pPr>
        <w:ind w:right="49"/>
        <w:jc w:val="both"/>
        <w:rPr>
          <w:rFonts w:ascii="Arial Narrow" w:hAnsi="Arial Narrow" w:cs="Calibri"/>
          <w:bCs/>
          <w:sz w:val="20"/>
          <w:szCs w:val="20"/>
          <w:lang w:eastAsia="es-CO"/>
        </w:rPr>
      </w:pPr>
    </w:p>
    <w:p w14:paraId="5FD1F9A4" w14:textId="77777777" w:rsidR="008141EC" w:rsidRPr="00FB7651" w:rsidRDefault="00AD011F" w:rsidP="008141EC">
      <w:pPr>
        <w:ind w:right="49"/>
        <w:jc w:val="both"/>
        <w:rPr>
          <w:rFonts w:ascii="Arial Narrow" w:hAnsi="Arial Narrow" w:cs="Calibri"/>
          <w:bCs/>
          <w:i/>
          <w:iCs/>
          <w:sz w:val="20"/>
          <w:szCs w:val="20"/>
          <w:lang w:eastAsia="es-CO"/>
        </w:rPr>
      </w:pPr>
      <w:r w:rsidRPr="00FB7651">
        <w:rPr>
          <w:rFonts w:ascii="Arial Narrow" w:hAnsi="Arial Narrow" w:cs="Calibri"/>
          <w:bCs/>
          <w:sz w:val="20"/>
          <w:szCs w:val="20"/>
          <w:lang w:eastAsia="es-CO"/>
        </w:rPr>
        <w:t>E</w:t>
      </w:r>
      <w:r w:rsidR="00C50C7E" w:rsidRPr="00FB7651">
        <w:rPr>
          <w:rFonts w:ascii="Arial Narrow" w:hAnsi="Arial Narrow" w:cs="Calibri"/>
          <w:bCs/>
          <w:sz w:val="20"/>
          <w:szCs w:val="20"/>
          <w:lang w:eastAsia="es-CO"/>
        </w:rPr>
        <w:t>n cumplimiento de lo anterior,</w:t>
      </w:r>
      <w:r w:rsidR="00A52ACB" w:rsidRPr="00FB7651">
        <w:rPr>
          <w:rFonts w:ascii="Arial Narrow" w:hAnsi="Arial Narrow" w:cs="Calibri"/>
          <w:bCs/>
          <w:sz w:val="20"/>
          <w:szCs w:val="20"/>
          <w:lang w:eastAsia="es-CO"/>
        </w:rPr>
        <w:t xml:space="preserve"> se profirió el 22 de diciembre de 2023 la Resolución No. 1099 de 2023</w:t>
      </w:r>
      <w:r w:rsidR="008141EC" w:rsidRPr="00FB7651">
        <w:rPr>
          <w:rFonts w:ascii="Arial Narrow" w:hAnsi="Arial Narrow" w:cs="Calibri"/>
          <w:bCs/>
          <w:sz w:val="20"/>
          <w:szCs w:val="20"/>
          <w:lang w:eastAsia="es-CO"/>
        </w:rPr>
        <w:t xml:space="preserve"> </w:t>
      </w:r>
      <w:r w:rsidR="008141EC" w:rsidRPr="00FB7651">
        <w:rPr>
          <w:rFonts w:ascii="Arial Narrow" w:hAnsi="Arial Narrow" w:cs="Calibri"/>
          <w:bCs/>
          <w:i/>
          <w:iCs/>
          <w:sz w:val="20"/>
          <w:szCs w:val="20"/>
          <w:lang w:eastAsia="es-CO"/>
        </w:rPr>
        <w:t xml:space="preserve">"Por medio de la cual se adopta el procedimiento de Audiencia Pública Minera para el otorgamiento de títulos mineros". </w:t>
      </w:r>
    </w:p>
    <w:p w14:paraId="11DF0325" w14:textId="77777777" w:rsidR="008141EC" w:rsidRPr="00FB7651" w:rsidRDefault="008141EC" w:rsidP="008141EC">
      <w:pPr>
        <w:ind w:right="49"/>
        <w:jc w:val="both"/>
        <w:rPr>
          <w:rFonts w:ascii="Arial Narrow" w:hAnsi="Arial Narrow" w:cs="Calibri"/>
          <w:bCs/>
          <w:i/>
          <w:iCs/>
          <w:sz w:val="20"/>
          <w:szCs w:val="20"/>
          <w:lang w:eastAsia="es-CO"/>
        </w:rPr>
      </w:pPr>
    </w:p>
    <w:p w14:paraId="23E0D9DE" w14:textId="6168B7E2" w:rsidR="008141EC" w:rsidRPr="00FB7651" w:rsidRDefault="008141EC" w:rsidP="008141EC">
      <w:pPr>
        <w:ind w:right="49"/>
        <w:jc w:val="both"/>
        <w:rPr>
          <w:rFonts w:ascii="Arial Narrow" w:hAnsi="Arial Narrow" w:cs="Calibri"/>
          <w:bCs/>
          <w:i/>
          <w:iCs/>
          <w:sz w:val="20"/>
          <w:szCs w:val="20"/>
          <w:lang w:eastAsia="es-CO"/>
        </w:rPr>
      </w:pPr>
      <w:r w:rsidRPr="00FB7651">
        <w:rPr>
          <w:rFonts w:ascii="Arial Narrow" w:hAnsi="Arial Narrow" w:cs="Calibri"/>
          <w:bCs/>
          <w:sz w:val="20"/>
          <w:szCs w:val="20"/>
          <w:lang w:eastAsia="es-CO"/>
        </w:rPr>
        <w:t xml:space="preserve">Es así como en el citado procedimiento, en su numeral 2° referente al “ALCANCE”, se dispuso: </w:t>
      </w:r>
      <w:r w:rsidRPr="00FB7651">
        <w:rPr>
          <w:rFonts w:ascii="Arial Narrow" w:hAnsi="Arial Narrow" w:cs="Calibri"/>
          <w:bCs/>
          <w:i/>
          <w:iCs/>
          <w:sz w:val="20"/>
          <w:szCs w:val="20"/>
          <w:lang w:eastAsia="es-CO"/>
        </w:rPr>
        <w:t>“(…) Este procedimiento aplica para las propuestas de contrato de concesión minera, propuestas de concesión minera con requisitos diferenciales y solicitudes de licencias de exploración, que se presenten a partir de la entrada en vigencia del procedimiento de audiencia pública minera, así como aquellas que se encuentren en trámite y que no hayan superado conjuntamente las etapas de coordinación y concurrencia y audiencia pública, el igual que las propuestas que estando presentes en más de un ente territorial, no llevaron a cabo la audiencia pública en todos ellos”.</w:t>
      </w:r>
    </w:p>
    <w:p w14:paraId="0412E6E7" w14:textId="77777777" w:rsidR="008141EC" w:rsidRPr="00FB7651" w:rsidRDefault="008141EC" w:rsidP="008141EC">
      <w:pPr>
        <w:ind w:right="49"/>
        <w:jc w:val="both"/>
        <w:rPr>
          <w:rFonts w:ascii="Arial Narrow" w:hAnsi="Arial Narrow" w:cs="Calibri"/>
          <w:bCs/>
          <w:sz w:val="20"/>
          <w:szCs w:val="20"/>
          <w:lang w:eastAsia="es-CO"/>
        </w:rPr>
      </w:pPr>
    </w:p>
    <w:p w14:paraId="2EF171C8" w14:textId="77777777" w:rsidR="000B1DFC" w:rsidRPr="00FB7651" w:rsidRDefault="008141EC" w:rsidP="008141EC">
      <w:pPr>
        <w:ind w:right="49"/>
        <w:jc w:val="both"/>
        <w:rPr>
          <w:rFonts w:ascii="Arial Narrow" w:hAnsi="Arial Narrow" w:cs="Calibri"/>
          <w:bCs/>
          <w:sz w:val="20"/>
          <w:szCs w:val="20"/>
          <w:lang w:eastAsia="es-CO"/>
        </w:rPr>
      </w:pPr>
      <w:r w:rsidRPr="00FB7651">
        <w:rPr>
          <w:rFonts w:ascii="Arial Narrow" w:hAnsi="Arial Narrow" w:cs="Calibri"/>
          <w:bCs/>
          <w:sz w:val="20"/>
          <w:szCs w:val="20"/>
          <w:lang w:eastAsia="es-CO"/>
        </w:rPr>
        <w:t>Sin perjuicio de lo anterior</w:t>
      </w:r>
      <w:r w:rsidR="000B1DFC" w:rsidRPr="00FB7651">
        <w:rPr>
          <w:rFonts w:ascii="Arial Narrow" w:hAnsi="Arial Narrow" w:cs="Calibri"/>
          <w:bCs/>
          <w:sz w:val="20"/>
          <w:szCs w:val="20"/>
          <w:lang w:eastAsia="es-CO"/>
        </w:rPr>
        <w:t>, es necesario excluir de este procedimiento las propuestas de concesión minera con requisitos diferenciales, con excepción de las provenientes de devoluciones de áreas para formalización minera con beneficiario directo y las que recaigan sobre Áreas de Reserva Estratégica Minera para la Formalización.</w:t>
      </w:r>
    </w:p>
    <w:p w14:paraId="408DF4A9" w14:textId="77777777" w:rsidR="000B1DFC" w:rsidRPr="00FB7651" w:rsidRDefault="000B1DFC" w:rsidP="008141EC">
      <w:pPr>
        <w:ind w:right="49"/>
        <w:jc w:val="both"/>
        <w:rPr>
          <w:rFonts w:ascii="Arial Narrow" w:hAnsi="Arial Narrow" w:cs="Calibri"/>
          <w:bCs/>
          <w:sz w:val="20"/>
          <w:szCs w:val="20"/>
          <w:lang w:eastAsia="es-CO"/>
        </w:rPr>
      </w:pPr>
    </w:p>
    <w:p w14:paraId="6430E9CF" w14:textId="7F8F8263" w:rsidR="008141EC" w:rsidRPr="00FB7651" w:rsidRDefault="000B1DFC" w:rsidP="008141EC">
      <w:pPr>
        <w:ind w:right="49"/>
        <w:jc w:val="both"/>
        <w:rPr>
          <w:rFonts w:ascii="Arial Narrow" w:hAnsi="Arial Narrow" w:cs="Calibri"/>
          <w:bCs/>
          <w:sz w:val="20"/>
          <w:szCs w:val="20"/>
          <w:lang w:eastAsia="es-CO"/>
        </w:rPr>
      </w:pPr>
      <w:r w:rsidRPr="00FB7651">
        <w:rPr>
          <w:rFonts w:ascii="Arial Narrow" w:hAnsi="Arial Narrow" w:cs="Calibri"/>
          <w:bCs/>
          <w:sz w:val="20"/>
          <w:szCs w:val="20"/>
          <w:lang w:eastAsia="es-CO"/>
        </w:rPr>
        <w:t xml:space="preserve">Lo anterior teniendo en cuenta que </w:t>
      </w:r>
      <w:r w:rsidR="008141EC" w:rsidRPr="00FB7651">
        <w:rPr>
          <w:rFonts w:ascii="Arial Narrow" w:hAnsi="Arial Narrow" w:cs="Calibri"/>
          <w:bCs/>
          <w:sz w:val="20"/>
          <w:szCs w:val="20"/>
          <w:lang w:eastAsia="es-CO"/>
        </w:rPr>
        <w:t>el Decreto Único Reglamentario del Sector Administrativo de Minas y Energía No. 1073 de 2015, en su T</w:t>
      </w:r>
      <w:r w:rsidRPr="00FB7651">
        <w:rPr>
          <w:rFonts w:ascii="Arial Narrow" w:hAnsi="Arial Narrow" w:cs="Calibri"/>
          <w:bCs/>
          <w:sz w:val="20"/>
          <w:szCs w:val="20"/>
          <w:lang w:eastAsia="es-CO"/>
        </w:rPr>
        <w:t>í</w:t>
      </w:r>
      <w:r w:rsidR="008141EC" w:rsidRPr="00FB7651">
        <w:rPr>
          <w:rFonts w:ascii="Arial Narrow" w:hAnsi="Arial Narrow" w:cs="Calibri"/>
          <w:bCs/>
          <w:sz w:val="20"/>
          <w:szCs w:val="20"/>
          <w:lang w:eastAsia="es-CO"/>
        </w:rPr>
        <w:t>tulo V, Capítulo 4, sección 3, artículo 2.2.5.4.3.1. dispuso</w:t>
      </w:r>
      <w:r w:rsidRPr="00FB7651">
        <w:rPr>
          <w:rFonts w:ascii="Arial Narrow" w:hAnsi="Arial Narrow" w:cs="Calibri"/>
          <w:bCs/>
          <w:sz w:val="20"/>
          <w:szCs w:val="20"/>
          <w:lang w:eastAsia="es-CO"/>
        </w:rPr>
        <w:t>:</w:t>
      </w:r>
      <w:r w:rsidR="008141EC" w:rsidRPr="00FB7651">
        <w:rPr>
          <w:rFonts w:ascii="Arial Narrow" w:hAnsi="Arial Narrow" w:cs="Calibri"/>
          <w:bCs/>
          <w:sz w:val="20"/>
          <w:szCs w:val="20"/>
          <w:lang w:eastAsia="es-CO"/>
        </w:rPr>
        <w:t xml:space="preserve"> “</w:t>
      </w:r>
      <w:r w:rsidR="008141EC" w:rsidRPr="00FB7651">
        <w:rPr>
          <w:rFonts w:ascii="Arial Narrow" w:hAnsi="Arial Narrow" w:cs="Calibri"/>
          <w:bCs/>
          <w:i/>
          <w:iCs/>
          <w:sz w:val="20"/>
          <w:szCs w:val="20"/>
          <w:lang w:eastAsia="es-CO"/>
        </w:rPr>
        <w:t>La devolución de áreas para la formalización minera, es la realizada por el titular minero como resultado de un proceso de mediación o por decisión directa de este, con el fin de contribuir a la formalización de la pequeña minería. Parágrafo. Esta devolución se puede realizar para (i) formalizar a los pequeños mineros que se encuentren adelantando actividades de explotación en el área del título minero, o (</w:t>
      </w:r>
      <w:proofErr w:type="spellStart"/>
      <w:r w:rsidR="008141EC" w:rsidRPr="00FB7651">
        <w:rPr>
          <w:rFonts w:ascii="Arial Narrow" w:hAnsi="Arial Narrow" w:cs="Calibri"/>
          <w:bCs/>
          <w:i/>
          <w:iCs/>
          <w:sz w:val="20"/>
          <w:szCs w:val="20"/>
          <w:lang w:eastAsia="es-CO"/>
        </w:rPr>
        <w:t>ii</w:t>
      </w:r>
      <w:proofErr w:type="spellEnd"/>
      <w:r w:rsidR="008141EC" w:rsidRPr="00FB7651">
        <w:rPr>
          <w:rFonts w:ascii="Arial Narrow" w:hAnsi="Arial Narrow" w:cs="Calibri"/>
          <w:bCs/>
          <w:i/>
          <w:iCs/>
          <w:sz w:val="20"/>
          <w:szCs w:val="20"/>
          <w:lang w:eastAsia="es-CO"/>
        </w:rPr>
        <w:t>) para aquellos que se encuentran adelantando labores de explotación en un área distinta a la del título minero, y que debido a las restricciones ambientales o sociales que se presentan en el lugar donde están ejerciendo sus labores, requieran ser reubicados</w:t>
      </w:r>
      <w:r w:rsidR="008141EC" w:rsidRPr="00FB7651">
        <w:rPr>
          <w:rFonts w:ascii="Arial Narrow" w:hAnsi="Arial Narrow" w:cs="Calibri"/>
          <w:bCs/>
          <w:sz w:val="20"/>
          <w:szCs w:val="20"/>
          <w:lang w:eastAsia="es-CO"/>
        </w:rPr>
        <w:t xml:space="preserve">”. </w:t>
      </w:r>
    </w:p>
    <w:p w14:paraId="43868563" w14:textId="77777777" w:rsidR="008141EC" w:rsidRPr="00FB7651" w:rsidRDefault="008141EC" w:rsidP="008141EC">
      <w:pPr>
        <w:ind w:right="49"/>
        <w:jc w:val="both"/>
        <w:rPr>
          <w:rFonts w:ascii="Arial Narrow" w:hAnsi="Arial Narrow" w:cs="Calibri"/>
          <w:bCs/>
          <w:sz w:val="20"/>
          <w:szCs w:val="20"/>
          <w:lang w:eastAsia="es-CO"/>
        </w:rPr>
      </w:pPr>
    </w:p>
    <w:p w14:paraId="1AB802FB" w14:textId="2A13132C" w:rsidR="008141EC" w:rsidRPr="00D467D5" w:rsidRDefault="000B1DFC" w:rsidP="008141EC">
      <w:pPr>
        <w:ind w:right="49"/>
        <w:jc w:val="both"/>
        <w:rPr>
          <w:rFonts w:ascii="Arial Narrow" w:hAnsi="Arial Narrow" w:cs="Calibri"/>
          <w:bCs/>
          <w:sz w:val="20"/>
          <w:szCs w:val="20"/>
          <w:lang w:eastAsia="es-CO"/>
        </w:rPr>
      </w:pPr>
      <w:r w:rsidRPr="00FB7651">
        <w:rPr>
          <w:rFonts w:ascii="Arial Narrow" w:hAnsi="Arial Narrow" w:cs="Calibri"/>
          <w:bCs/>
          <w:sz w:val="20"/>
          <w:szCs w:val="20"/>
          <w:lang w:eastAsia="es-CO"/>
        </w:rPr>
        <w:t xml:space="preserve">Por su parte </w:t>
      </w:r>
      <w:r w:rsidR="008141EC" w:rsidRPr="00FB7651">
        <w:rPr>
          <w:rFonts w:ascii="Arial Narrow" w:hAnsi="Arial Narrow" w:cs="Calibri"/>
          <w:bCs/>
          <w:sz w:val="20"/>
          <w:szCs w:val="20"/>
          <w:lang w:eastAsia="es-CO"/>
        </w:rPr>
        <w:t xml:space="preserve">el Decreto 1378 de 2020 </w:t>
      </w:r>
      <w:r w:rsidR="008141EC" w:rsidRPr="0094553C">
        <w:rPr>
          <w:rFonts w:ascii="Arial Narrow" w:hAnsi="Arial Narrow" w:cs="Calibri"/>
          <w:bCs/>
          <w:i/>
          <w:iCs/>
          <w:sz w:val="20"/>
          <w:szCs w:val="20"/>
          <w:lang w:eastAsia="es-CO"/>
        </w:rPr>
        <w:t>"Por el cual se adiciona el Decreto Único Reglamentario No 1073 de 2015, respecto a los requisitos diferenciales para el otorgamiento de contratos de concesión a mineros de pequeña escala y beneficiarios de devolución de áreas",</w:t>
      </w:r>
      <w:r w:rsidR="008141EC" w:rsidRPr="00D467D5">
        <w:rPr>
          <w:rFonts w:ascii="Arial Narrow" w:hAnsi="Arial Narrow" w:cs="Calibri"/>
          <w:bCs/>
          <w:sz w:val="20"/>
          <w:szCs w:val="20"/>
          <w:lang w:eastAsia="es-CO"/>
        </w:rPr>
        <w:t xml:space="preserve"> en su artículo 2.2.5.4.4.1 indica que los requisitos diferenciales para el otorgamiento de Contrato de Concesión aplican a las personas naturales o jurídicas que sean Mineros de Pequeña Escala que no cuenten con título minero y a los Beneficiarios de Devolución de Áreas para la formalización minera.</w:t>
      </w:r>
    </w:p>
    <w:p w14:paraId="20570CC2" w14:textId="77777777" w:rsidR="008141EC" w:rsidRPr="00D467D5" w:rsidRDefault="008141EC" w:rsidP="008141EC">
      <w:pPr>
        <w:ind w:right="49"/>
        <w:jc w:val="both"/>
        <w:rPr>
          <w:rFonts w:ascii="Arial Narrow" w:hAnsi="Arial Narrow" w:cs="Calibri"/>
          <w:bCs/>
          <w:sz w:val="20"/>
          <w:szCs w:val="20"/>
          <w:lang w:eastAsia="es-CO"/>
        </w:rPr>
      </w:pPr>
    </w:p>
    <w:p w14:paraId="46914372" w14:textId="02575E85" w:rsidR="008141EC" w:rsidRPr="00FB7651" w:rsidRDefault="000B1DFC" w:rsidP="008141EC">
      <w:pPr>
        <w:ind w:right="49"/>
        <w:jc w:val="both"/>
        <w:rPr>
          <w:rFonts w:ascii="Arial Narrow" w:hAnsi="Arial Narrow" w:cs="Calibri"/>
          <w:bCs/>
          <w:sz w:val="20"/>
          <w:szCs w:val="20"/>
          <w:lang w:eastAsia="es-CO"/>
        </w:rPr>
      </w:pPr>
      <w:r w:rsidRPr="00D467D5">
        <w:rPr>
          <w:rFonts w:ascii="Arial Narrow" w:hAnsi="Arial Narrow" w:cs="Calibri"/>
          <w:bCs/>
          <w:sz w:val="20"/>
          <w:szCs w:val="20"/>
          <w:lang w:eastAsia="es-CO"/>
        </w:rPr>
        <w:t>En igual sentido,</w:t>
      </w:r>
      <w:r w:rsidR="008141EC" w:rsidRPr="00D467D5">
        <w:rPr>
          <w:rFonts w:ascii="Arial Narrow" w:hAnsi="Arial Narrow" w:cs="Calibri"/>
          <w:bCs/>
          <w:sz w:val="20"/>
          <w:szCs w:val="20"/>
          <w:lang w:eastAsia="es-CO"/>
        </w:rPr>
        <w:t xml:space="preserve"> el artículo 2.2.5.4.4.1.3.1 del Decreto No. 1378 de 2020, dispone que la propuesta de contrato de concesión con requisitos diferenciales se presentará por los Mineros de Pequeña Escala y por los Beneficiarios de Devolución de Áreas, acorde a los lineamientos señalados en el citado decreto.</w:t>
      </w:r>
    </w:p>
    <w:p w14:paraId="4DD54581" w14:textId="77777777" w:rsidR="008141EC" w:rsidRPr="00FB7651" w:rsidRDefault="008141EC" w:rsidP="008141EC">
      <w:pPr>
        <w:ind w:right="49"/>
        <w:jc w:val="both"/>
        <w:rPr>
          <w:rFonts w:ascii="Arial Narrow" w:hAnsi="Arial Narrow" w:cs="Calibri"/>
          <w:bCs/>
          <w:sz w:val="20"/>
          <w:szCs w:val="20"/>
          <w:lang w:eastAsia="es-CO"/>
        </w:rPr>
      </w:pPr>
    </w:p>
    <w:p w14:paraId="09D83E95" w14:textId="1B1B2B1E" w:rsidR="008141EC" w:rsidRDefault="000B1DFC" w:rsidP="008141EC">
      <w:pPr>
        <w:ind w:right="49"/>
        <w:jc w:val="both"/>
        <w:rPr>
          <w:rFonts w:ascii="Arial Narrow" w:hAnsi="Arial Narrow" w:cs="Calibri"/>
          <w:bCs/>
          <w:sz w:val="20"/>
          <w:szCs w:val="20"/>
          <w:lang w:eastAsia="es-CO"/>
        </w:rPr>
      </w:pPr>
      <w:r w:rsidRPr="00FB7651">
        <w:rPr>
          <w:rFonts w:ascii="Arial Narrow" w:hAnsi="Arial Narrow" w:cs="Calibri"/>
          <w:bCs/>
          <w:sz w:val="20"/>
          <w:szCs w:val="20"/>
          <w:lang w:eastAsia="es-CO"/>
        </w:rPr>
        <w:t>Así mismo, e</w:t>
      </w:r>
      <w:r w:rsidR="008141EC" w:rsidRPr="00FB7651">
        <w:rPr>
          <w:rFonts w:ascii="Arial Narrow" w:hAnsi="Arial Narrow" w:cs="Calibri"/>
          <w:bCs/>
          <w:sz w:val="20"/>
          <w:szCs w:val="20"/>
          <w:lang w:eastAsia="es-CO"/>
        </w:rPr>
        <w:t xml:space="preserve">l Artículo 20 de la Ley 1753 de 2015 establece que la Agencia Nacional de Minería, con base en información </w:t>
      </w:r>
      <w:proofErr w:type="spellStart"/>
      <w:r w:rsidR="008141EC" w:rsidRPr="00FB7651">
        <w:rPr>
          <w:rFonts w:ascii="Arial Narrow" w:hAnsi="Arial Narrow" w:cs="Calibri"/>
          <w:bCs/>
          <w:sz w:val="20"/>
          <w:szCs w:val="20"/>
          <w:lang w:eastAsia="es-CO"/>
        </w:rPr>
        <w:t>geocientífica</w:t>
      </w:r>
      <w:proofErr w:type="spellEnd"/>
      <w:r w:rsidR="008141EC" w:rsidRPr="00FB7651">
        <w:rPr>
          <w:rFonts w:ascii="Arial Narrow" w:hAnsi="Arial Narrow" w:cs="Calibri"/>
          <w:bCs/>
          <w:sz w:val="20"/>
          <w:szCs w:val="20"/>
          <w:lang w:eastAsia="es-CO"/>
        </w:rPr>
        <w:t xml:space="preserve"> disponible, podrá declarar y delimitar las áreas que presenten alto potencial minero como Áreas de Reserva Estratégica Minera (AEM) para que sean entregadas a través de procesos de selección objetiva.</w:t>
      </w:r>
    </w:p>
    <w:p w14:paraId="7C51DE1C" w14:textId="77777777" w:rsidR="00D55D18" w:rsidRPr="00D467D5" w:rsidRDefault="00D55D18" w:rsidP="008141EC">
      <w:pPr>
        <w:ind w:right="49"/>
        <w:jc w:val="both"/>
        <w:rPr>
          <w:rFonts w:ascii="Arial Narrow" w:hAnsi="Arial Narrow" w:cs="Calibri"/>
          <w:bCs/>
          <w:sz w:val="20"/>
          <w:szCs w:val="20"/>
          <w:lang w:eastAsia="es-CO"/>
        </w:rPr>
      </w:pPr>
    </w:p>
    <w:p w14:paraId="28003E95" w14:textId="331F934B" w:rsidR="008141EC" w:rsidRPr="00FB7651" w:rsidRDefault="000B1DFC" w:rsidP="008141EC">
      <w:pPr>
        <w:ind w:right="49"/>
        <w:jc w:val="both"/>
        <w:rPr>
          <w:rFonts w:ascii="Arial Narrow" w:hAnsi="Arial Narrow" w:cs="Calibri"/>
          <w:bCs/>
          <w:sz w:val="20"/>
          <w:szCs w:val="20"/>
          <w:lang w:eastAsia="es-CO"/>
        </w:rPr>
      </w:pPr>
      <w:r w:rsidRPr="00D467D5">
        <w:rPr>
          <w:rFonts w:ascii="Arial Narrow" w:hAnsi="Arial Narrow" w:cs="Calibri"/>
          <w:bCs/>
          <w:sz w:val="20"/>
          <w:szCs w:val="20"/>
          <w:lang w:eastAsia="es-CO"/>
        </w:rPr>
        <w:lastRenderedPageBreak/>
        <w:t>E</w:t>
      </w:r>
      <w:r w:rsidR="008141EC" w:rsidRPr="00D467D5">
        <w:rPr>
          <w:rFonts w:ascii="Arial Narrow" w:hAnsi="Arial Narrow" w:cs="Calibri"/>
          <w:bCs/>
          <w:sz w:val="20"/>
          <w:szCs w:val="20"/>
          <w:lang w:eastAsia="es-CO"/>
        </w:rPr>
        <w:t>l parágrafo 1 del artículo 5° de la Ley 2250 del 11 de Julio de 2022, señala que las áreas de reserva para formalización se otorgarán a través de contratos de concesión con requisitos diferenciales</w:t>
      </w:r>
      <w:r w:rsidRPr="00D467D5">
        <w:rPr>
          <w:rFonts w:ascii="Arial Narrow" w:hAnsi="Arial Narrow" w:cs="Calibri"/>
          <w:bCs/>
          <w:sz w:val="20"/>
          <w:szCs w:val="20"/>
          <w:lang w:eastAsia="es-CO"/>
        </w:rPr>
        <w:t>,</w:t>
      </w:r>
      <w:r w:rsidR="008141EC" w:rsidRPr="00D467D5">
        <w:rPr>
          <w:rFonts w:ascii="Arial Narrow" w:hAnsi="Arial Narrow" w:cs="Calibri"/>
          <w:bCs/>
          <w:sz w:val="20"/>
          <w:szCs w:val="20"/>
          <w:lang w:eastAsia="es-CO"/>
        </w:rPr>
        <w:t xml:space="preserve"> </w:t>
      </w:r>
      <w:r w:rsidRPr="00D467D5">
        <w:rPr>
          <w:rFonts w:ascii="Arial Narrow" w:hAnsi="Arial Narrow" w:cs="Calibri"/>
          <w:bCs/>
          <w:sz w:val="20"/>
          <w:szCs w:val="20"/>
          <w:lang w:eastAsia="es-CO"/>
        </w:rPr>
        <w:t xml:space="preserve">así mismo que </w:t>
      </w:r>
      <w:r w:rsidR="008141EC" w:rsidRPr="00D467D5">
        <w:rPr>
          <w:rFonts w:ascii="Arial Narrow" w:hAnsi="Arial Narrow" w:cs="Calibri"/>
          <w:bCs/>
          <w:sz w:val="20"/>
          <w:szCs w:val="20"/>
          <w:lang w:eastAsia="es-CO"/>
        </w:rPr>
        <w:t>previo a la delimitac</w:t>
      </w:r>
      <w:r w:rsidR="008141EC" w:rsidRPr="00FB7651">
        <w:rPr>
          <w:rFonts w:ascii="Arial Narrow" w:hAnsi="Arial Narrow" w:cs="Calibri"/>
          <w:bCs/>
          <w:sz w:val="20"/>
          <w:szCs w:val="20"/>
          <w:lang w:eastAsia="es-CO"/>
        </w:rPr>
        <w:t>ión dé áreas de reserva estratégica minera, deberá validar la presencia de mineros tradicionales y pequeños mineros en las zonas de reserva con potencial e identificar si la actividad de dichos mineros es desarrollada con anterioridad a la reserva de estas zonas</w:t>
      </w:r>
      <w:r w:rsidRPr="00FB7651">
        <w:rPr>
          <w:rFonts w:ascii="Arial Narrow" w:hAnsi="Arial Narrow" w:cs="Calibri"/>
          <w:bCs/>
          <w:sz w:val="20"/>
          <w:szCs w:val="20"/>
          <w:lang w:eastAsia="es-CO"/>
        </w:rPr>
        <w:t xml:space="preserve">, </w:t>
      </w:r>
      <w:r w:rsidR="008141EC" w:rsidRPr="00FB7651">
        <w:rPr>
          <w:rFonts w:ascii="Arial Narrow" w:hAnsi="Arial Narrow" w:cs="Calibri"/>
          <w:bCs/>
          <w:sz w:val="20"/>
          <w:szCs w:val="20"/>
          <w:lang w:eastAsia="es-CO"/>
        </w:rPr>
        <w:t>generando igualmente estrategias de divulgación con dicha población y atendiendo lo establecido por la normatividad sobre el particular.</w:t>
      </w:r>
    </w:p>
    <w:p w14:paraId="2C6DB132" w14:textId="77777777" w:rsidR="008141EC" w:rsidRPr="00FB7651" w:rsidRDefault="008141EC" w:rsidP="008141EC">
      <w:pPr>
        <w:ind w:right="49"/>
        <w:jc w:val="both"/>
        <w:rPr>
          <w:rFonts w:ascii="Arial Narrow" w:hAnsi="Arial Narrow" w:cs="Calibri"/>
          <w:bCs/>
          <w:sz w:val="20"/>
          <w:szCs w:val="20"/>
          <w:lang w:eastAsia="es-CO"/>
        </w:rPr>
      </w:pPr>
    </w:p>
    <w:p w14:paraId="25D47353" w14:textId="643158DB" w:rsidR="00900692" w:rsidRPr="00FB7651" w:rsidRDefault="00D55D18" w:rsidP="00BB409E">
      <w:pPr>
        <w:ind w:right="49"/>
        <w:jc w:val="both"/>
        <w:rPr>
          <w:rFonts w:ascii="Arial Narrow" w:hAnsi="Arial Narrow"/>
          <w:sz w:val="20"/>
          <w:szCs w:val="20"/>
        </w:rPr>
      </w:pPr>
      <w:r>
        <w:rPr>
          <w:rFonts w:ascii="Arial Narrow" w:hAnsi="Arial Narrow" w:cs="Calibri"/>
          <w:bCs/>
          <w:sz w:val="20"/>
          <w:szCs w:val="20"/>
          <w:lang w:eastAsia="es-CO"/>
        </w:rPr>
        <w:t>Con fundamento en lo antes expuesto</w:t>
      </w:r>
      <w:r w:rsidR="000B1DFC" w:rsidRPr="00D467D5">
        <w:rPr>
          <w:rFonts w:ascii="Arial Narrow" w:hAnsi="Arial Narrow" w:cs="Calibri"/>
          <w:bCs/>
          <w:sz w:val="20"/>
          <w:szCs w:val="20"/>
          <w:lang w:eastAsia="es-CO"/>
        </w:rPr>
        <w:t xml:space="preserve">, se considera que no es aplicable </w:t>
      </w:r>
      <w:r>
        <w:rPr>
          <w:rFonts w:ascii="Arial Narrow" w:hAnsi="Arial Narrow" w:cs="Calibri"/>
          <w:bCs/>
          <w:sz w:val="20"/>
          <w:szCs w:val="20"/>
          <w:lang w:eastAsia="es-CO"/>
        </w:rPr>
        <w:t>el procedimiento adoptado mediante</w:t>
      </w:r>
      <w:r w:rsidR="008141EC" w:rsidRPr="00D467D5">
        <w:rPr>
          <w:rFonts w:ascii="Arial Narrow" w:hAnsi="Arial Narrow" w:cs="Calibri"/>
          <w:bCs/>
          <w:sz w:val="20"/>
          <w:szCs w:val="20"/>
          <w:lang w:eastAsia="es-CO"/>
        </w:rPr>
        <w:t xml:space="preserve"> la Resolución No. 1099 de 2023 denominado “AUDIENCIA PÚBLICA MINERA PARA EL OTORGAMIENTO DE TÍTULOS MINEROS”</w:t>
      </w:r>
      <w:r w:rsidR="000B1DFC" w:rsidRPr="00D467D5">
        <w:rPr>
          <w:rFonts w:ascii="Arial Narrow" w:hAnsi="Arial Narrow" w:cs="Calibri"/>
          <w:bCs/>
          <w:sz w:val="20"/>
          <w:szCs w:val="20"/>
          <w:lang w:eastAsia="es-CO"/>
        </w:rPr>
        <w:t>,</w:t>
      </w:r>
      <w:r>
        <w:rPr>
          <w:rFonts w:ascii="Arial Narrow" w:hAnsi="Arial Narrow" w:cs="Calibri"/>
          <w:bCs/>
          <w:sz w:val="20"/>
          <w:szCs w:val="20"/>
          <w:lang w:eastAsia="es-CO"/>
        </w:rPr>
        <w:t xml:space="preserve"> a las</w:t>
      </w:r>
      <w:r w:rsidR="000B1DFC" w:rsidRPr="00D467D5">
        <w:rPr>
          <w:rFonts w:ascii="Arial Narrow" w:hAnsi="Arial Narrow" w:cs="Calibri"/>
          <w:bCs/>
          <w:sz w:val="20"/>
          <w:szCs w:val="20"/>
          <w:lang w:eastAsia="es-CO"/>
        </w:rPr>
        <w:t xml:space="preserve"> </w:t>
      </w:r>
      <w:r w:rsidRPr="000B793A">
        <w:rPr>
          <w:rFonts w:ascii="Arial Narrow" w:hAnsi="Arial Narrow" w:cs="Calibri"/>
          <w:bCs/>
          <w:sz w:val="20"/>
          <w:szCs w:val="20"/>
          <w:lang w:eastAsia="es-CO"/>
        </w:rPr>
        <w:t>propuestas de concesión minera con requisitos diferenciales provenientes de devoluciones de áreas para formalización minera con beneficiario directo, y para las que recaigan sobre Áreas de Reserva Estratégica Minera para la Formalización</w:t>
      </w:r>
      <w:r w:rsidR="000B1DFC" w:rsidRPr="00D467D5">
        <w:rPr>
          <w:rFonts w:ascii="Arial Narrow" w:hAnsi="Arial Narrow" w:cs="Calibri"/>
          <w:bCs/>
          <w:sz w:val="20"/>
          <w:szCs w:val="20"/>
          <w:lang w:eastAsia="es-CO"/>
        </w:rPr>
        <w:t xml:space="preserve">, </w:t>
      </w:r>
      <w:r w:rsidR="008141EC" w:rsidRPr="00D467D5">
        <w:rPr>
          <w:rFonts w:ascii="Arial Narrow" w:hAnsi="Arial Narrow" w:cs="Calibri"/>
          <w:bCs/>
          <w:sz w:val="20"/>
          <w:szCs w:val="20"/>
          <w:lang w:eastAsia="es-CO"/>
        </w:rPr>
        <w:t xml:space="preserve">dado que estas propuestas se encuentran enmarcadas en un proceso especial y diferente al ordinario, con un objetivo contundente que es contribuir a la formalización de pequeños mineros en el territorio nacional. </w:t>
      </w:r>
      <w:r w:rsidR="00361057" w:rsidRPr="00D467D5">
        <w:rPr>
          <w:rFonts w:ascii="Arial Narrow" w:hAnsi="Arial Narrow" w:cs="Calibri"/>
          <w:color w:val="000000"/>
          <w:sz w:val="20"/>
          <w:szCs w:val="20"/>
        </w:rPr>
        <w:t xml:space="preserve">  </w:t>
      </w:r>
    </w:p>
    <w:p w14:paraId="25D47354" w14:textId="77777777" w:rsidR="00900692" w:rsidRDefault="00900692" w:rsidP="00BB409E">
      <w:pPr>
        <w:ind w:right="49"/>
        <w:jc w:val="both"/>
        <w:rPr>
          <w:rFonts w:ascii="Arial Narrow" w:hAnsi="Arial Narrow" w:cs="Calibri"/>
          <w:color w:val="000000"/>
          <w:sz w:val="20"/>
          <w:szCs w:val="20"/>
        </w:rPr>
      </w:pPr>
    </w:p>
    <w:p w14:paraId="37CECC0B" w14:textId="53F6C1DF" w:rsidR="00E47871" w:rsidRPr="0094553C" w:rsidRDefault="00E47871" w:rsidP="00BB409E">
      <w:pPr>
        <w:ind w:right="49"/>
        <w:jc w:val="both"/>
        <w:rPr>
          <w:rFonts w:ascii="Arial Narrow" w:hAnsi="Arial Narrow" w:cs="Calibri"/>
          <w:color w:val="000000"/>
          <w:sz w:val="20"/>
          <w:szCs w:val="20"/>
        </w:rPr>
      </w:pPr>
      <w:r>
        <w:rPr>
          <w:rFonts w:ascii="Arial Narrow" w:hAnsi="Arial Narrow" w:cs="Calibri"/>
          <w:color w:val="000000"/>
          <w:sz w:val="20"/>
          <w:szCs w:val="20"/>
        </w:rPr>
        <w:t>A</w:t>
      </w:r>
      <w:r w:rsidRPr="00E47871">
        <w:rPr>
          <w:rFonts w:ascii="Arial Narrow" w:hAnsi="Arial Narrow" w:cs="Calibri"/>
          <w:color w:val="000000"/>
          <w:sz w:val="20"/>
          <w:szCs w:val="20"/>
        </w:rPr>
        <w:t>justar algunos términos establecidos en el procedimiento adoptado mediante Resolución No. 1099 de 2023, a fin de lograr un adecuado cumplimiento a cargo de la Agencia Nacional de Minería; lo anterior obedece específicamente a que el procedimiento busca que la Audiencia Pública Minera tenga una gran participación de la comunidad, entidades territoriales y nacionales, y demás interesados, en la cual se den espacios amplios de escucha, y todo quede registrado en el Acta de la misma, la cual debe ser revisada y validada por la comisión verificadora; sin perjuicio de lo anterior, el plazo inicial para la publicación del acta se estableció en el término de cinco (5) días hábiles siguientes a su celebración, los cuales pueden resultar deficientes para lograr un adecuado registro de lo sucedido en la Audiencia Pública Minera y una validación adecuada por parte de la comisión verificadora; en ese orden de ideas, se hace necesario ampliar este plazo. Así mismo se establece que el acta debe estar suscrita por quien la prescindió antes de entrar a comentarios de la ciudadanía, interesados e intervinientes, lo cual debe ser ajustado, dado que debe ser suscrita es su versión final.</w:t>
      </w:r>
    </w:p>
    <w:p w14:paraId="1BB5A7E8" w14:textId="77777777" w:rsidR="004865F6" w:rsidRPr="00FB7651" w:rsidRDefault="004865F6" w:rsidP="00BB409E">
      <w:pPr>
        <w:pStyle w:val="Cuadrculamedia1-nfasis21"/>
        <w:tabs>
          <w:tab w:val="left" w:pos="1044"/>
        </w:tabs>
        <w:spacing w:after="0" w:line="240" w:lineRule="auto"/>
        <w:ind w:left="1428" w:right="49"/>
        <w:rPr>
          <w:rFonts w:ascii="Arial Narrow" w:hAnsi="Arial Narrow" w:cs="Calibri"/>
          <w:color w:val="000000"/>
          <w:sz w:val="20"/>
          <w:szCs w:val="20"/>
        </w:rPr>
      </w:pPr>
    </w:p>
    <w:p w14:paraId="18B1F628" w14:textId="24D52DA1" w:rsidR="004865F6" w:rsidRPr="0094553C" w:rsidRDefault="004865F6" w:rsidP="00BB409E">
      <w:pPr>
        <w:pStyle w:val="Cuadrculamedia1-nfasis21"/>
        <w:numPr>
          <w:ilvl w:val="0"/>
          <w:numId w:val="2"/>
        </w:numPr>
        <w:spacing w:after="0" w:line="240" w:lineRule="auto"/>
        <w:ind w:left="426" w:right="49"/>
        <w:rPr>
          <w:rFonts w:ascii="Arial Narrow" w:hAnsi="Arial Narrow" w:cs="Calibri"/>
          <w:b/>
          <w:color w:val="000000"/>
          <w:sz w:val="20"/>
          <w:szCs w:val="20"/>
          <w:u w:val="single"/>
        </w:rPr>
      </w:pPr>
      <w:r w:rsidRPr="0094553C">
        <w:rPr>
          <w:rFonts w:ascii="Arial Narrow" w:hAnsi="Arial Narrow" w:cs="Calibri"/>
          <w:b/>
          <w:color w:val="000000"/>
          <w:sz w:val="20"/>
          <w:szCs w:val="20"/>
          <w:u w:val="single"/>
        </w:rPr>
        <w:t>Impactos esperados</w:t>
      </w:r>
    </w:p>
    <w:p w14:paraId="409A5894" w14:textId="77777777" w:rsidR="004865F6" w:rsidRPr="0094553C" w:rsidRDefault="004865F6" w:rsidP="00BB409E">
      <w:pPr>
        <w:pStyle w:val="Cuadrculamedia1-nfasis21"/>
        <w:spacing w:after="0" w:line="240" w:lineRule="auto"/>
        <w:ind w:left="66" w:right="49"/>
        <w:rPr>
          <w:rFonts w:ascii="Arial Narrow" w:hAnsi="Arial Narrow" w:cs="Calibri"/>
          <w:b/>
          <w:color w:val="000000"/>
          <w:sz w:val="20"/>
          <w:szCs w:val="20"/>
          <w:u w:val="single"/>
        </w:rPr>
      </w:pPr>
    </w:p>
    <w:p w14:paraId="4856F47C" w14:textId="59AA2225" w:rsidR="008D55FD" w:rsidRPr="0094553C" w:rsidRDefault="008D55FD" w:rsidP="00BB409E">
      <w:pPr>
        <w:pStyle w:val="Cuadrculamedia1-nfasis21"/>
        <w:spacing w:after="0" w:line="240" w:lineRule="auto"/>
        <w:ind w:left="66" w:right="49"/>
        <w:rPr>
          <w:rFonts w:ascii="Arial Narrow" w:hAnsi="Arial Narrow" w:cs="Calibri"/>
          <w:bCs/>
          <w:color w:val="000000"/>
          <w:sz w:val="20"/>
          <w:szCs w:val="20"/>
        </w:rPr>
      </w:pPr>
      <w:r w:rsidRPr="0094553C">
        <w:rPr>
          <w:rFonts w:ascii="Arial Narrow" w:hAnsi="Arial Narrow" w:cs="Calibri"/>
          <w:bCs/>
          <w:color w:val="000000"/>
          <w:sz w:val="20"/>
          <w:szCs w:val="20"/>
        </w:rPr>
        <w:t>Los</w:t>
      </w:r>
      <w:r w:rsidR="004865F6" w:rsidRPr="0094553C">
        <w:rPr>
          <w:rFonts w:ascii="Arial Narrow" w:hAnsi="Arial Narrow" w:cs="Calibri"/>
          <w:bCs/>
          <w:color w:val="000000"/>
          <w:sz w:val="20"/>
          <w:szCs w:val="20"/>
        </w:rPr>
        <w:t xml:space="preserve"> impacto</w:t>
      </w:r>
      <w:r w:rsidRPr="0094553C">
        <w:rPr>
          <w:rFonts w:ascii="Arial Narrow" w:hAnsi="Arial Narrow" w:cs="Calibri"/>
          <w:bCs/>
          <w:color w:val="000000"/>
          <w:sz w:val="20"/>
          <w:szCs w:val="20"/>
        </w:rPr>
        <w:t>s</w:t>
      </w:r>
      <w:r w:rsidR="004865F6" w:rsidRPr="0094553C">
        <w:rPr>
          <w:rFonts w:ascii="Arial Narrow" w:hAnsi="Arial Narrow" w:cs="Calibri"/>
          <w:bCs/>
          <w:color w:val="000000"/>
          <w:sz w:val="20"/>
          <w:szCs w:val="20"/>
        </w:rPr>
        <w:t xml:space="preserve"> esperado</w:t>
      </w:r>
      <w:r w:rsidRPr="0094553C">
        <w:rPr>
          <w:rFonts w:ascii="Arial Narrow" w:hAnsi="Arial Narrow" w:cs="Calibri"/>
          <w:bCs/>
          <w:color w:val="000000"/>
          <w:sz w:val="20"/>
          <w:szCs w:val="20"/>
        </w:rPr>
        <w:t>s</w:t>
      </w:r>
      <w:r w:rsidR="004865F6" w:rsidRPr="0094553C">
        <w:rPr>
          <w:rFonts w:ascii="Arial Narrow" w:hAnsi="Arial Narrow" w:cs="Calibri"/>
          <w:bCs/>
          <w:color w:val="000000"/>
          <w:sz w:val="20"/>
          <w:szCs w:val="20"/>
        </w:rPr>
        <w:t xml:space="preserve"> </w:t>
      </w:r>
      <w:r w:rsidRPr="0094553C">
        <w:rPr>
          <w:rFonts w:ascii="Arial Narrow" w:hAnsi="Arial Narrow" w:cs="Calibri"/>
          <w:bCs/>
          <w:color w:val="000000"/>
          <w:sz w:val="20"/>
          <w:szCs w:val="20"/>
        </w:rPr>
        <w:t xml:space="preserve">que se tienen con esta nueva reglamentación </w:t>
      </w:r>
      <w:r w:rsidR="004865F6" w:rsidRPr="0094553C">
        <w:rPr>
          <w:rFonts w:ascii="Arial Narrow" w:hAnsi="Arial Narrow" w:cs="Calibri"/>
          <w:bCs/>
          <w:color w:val="000000"/>
          <w:sz w:val="20"/>
          <w:szCs w:val="20"/>
        </w:rPr>
        <w:t>s</w:t>
      </w:r>
      <w:r w:rsidRPr="0094553C">
        <w:rPr>
          <w:rFonts w:ascii="Arial Narrow" w:hAnsi="Arial Narrow" w:cs="Calibri"/>
          <w:bCs/>
          <w:color w:val="000000"/>
          <w:sz w:val="20"/>
          <w:szCs w:val="20"/>
        </w:rPr>
        <w:t xml:space="preserve">on: </w:t>
      </w:r>
    </w:p>
    <w:p w14:paraId="249C9B2F" w14:textId="77777777" w:rsidR="00C04BC9" w:rsidRPr="0094553C" w:rsidRDefault="00C04BC9" w:rsidP="00BB409E">
      <w:pPr>
        <w:pStyle w:val="Cuadrculamedia1-nfasis21"/>
        <w:spacing w:after="0" w:line="240" w:lineRule="auto"/>
        <w:ind w:left="66" w:right="49"/>
        <w:rPr>
          <w:rFonts w:ascii="Arial Narrow" w:hAnsi="Arial Narrow" w:cs="Calibri"/>
          <w:bCs/>
          <w:color w:val="000000"/>
          <w:sz w:val="20"/>
          <w:szCs w:val="20"/>
        </w:rPr>
      </w:pPr>
    </w:p>
    <w:p w14:paraId="67CAB7B7" w14:textId="74207866" w:rsidR="00D57222" w:rsidRPr="00D467D5" w:rsidRDefault="007470EB" w:rsidP="00BB409E">
      <w:pPr>
        <w:pStyle w:val="Cuadrculamedia1-nfasis21"/>
        <w:numPr>
          <w:ilvl w:val="0"/>
          <w:numId w:val="3"/>
        </w:numPr>
        <w:spacing w:after="0" w:line="240" w:lineRule="auto"/>
        <w:ind w:right="49"/>
        <w:jc w:val="both"/>
        <w:rPr>
          <w:rFonts w:ascii="Arial Narrow" w:hAnsi="Arial Narrow" w:cs="Calibri"/>
          <w:bCs/>
          <w:color w:val="000000"/>
          <w:sz w:val="20"/>
          <w:szCs w:val="20"/>
        </w:rPr>
      </w:pPr>
      <w:r w:rsidRPr="00FB7651">
        <w:rPr>
          <w:rFonts w:ascii="Arial Narrow" w:hAnsi="Arial Narrow" w:cs="Calibri"/>
          <w:bCs/>
          <w:sz w:val="20"/>
          <w:szCs w:val="20"/>
          <w:lang w:eastAsia="es-CO"/>
        </w:rPr>
        <w:t>Contribuir a la formalización de pequeños mineros en el territorio nacional</w:t>
      </w:r>
      <w:r w:rsidRPr="00D467D5">
        <w:rPr>
          <w:rFonts w:ascii="Arial Narrow" w:hAnsi="Arial Narrow" w:cs="Calibri"/>
          <w:bCs/>
          <w:sz w:val="20"/>
          <w:szCs w:val="20"/>
          <w:lang w:eastAsia="es-CO"/>
        </w:rPr>
        <w:t>.</w:t>
      </w:r>
    </w:p>
    <w:p w14:paraId="3D3E312B" w14:textId="77777777" w:rsidR="008D55FD" w:rsidRPr="00D467D5" w:rsidRDefault="008D55FD" w:rsidP="00BB409E">
      <w:pPr>
        <w:pStyle w:val="Cuadrculamedia1-nfasis21"/>
        <w:spacing w:after="0" w:line="240" w:lineRule="auto"/>
        <w:ind w:left="426" w:right="49"/>
        <w:jc w:val="both"/>
        <w:rPr>
          <w:rFonts w:ascii="Arial Narrow" w:hAnsi="Arial Narrow" w:cs="Calibri"/>
          <w:bCs/>
          <w:color w:val="000000"/>
          <w:sz w:val="20"/>
          <w:szCs w:val="20"/>
        </w:rPr>
      </w:pPr>
    </w:p>
    <w:p w14:paraId="34590734" w14:textId="77777777" w:rsidR="008D55FD" w:rsidRPr="0094553C" w:rsidRDefault="008D55FD" w:rsidP="00BB409E">
      <w:pPr>
        <w:pStyle w:val="Cuadrculamedia1-nfasis21"/>
        <w:spacing w:after="0" w:line="240" w:lineRule="auto"/>
        <w:ind w:left="66" w:right="49"/>
        <w:rPr>
          <w:rFonts w:ascii="Arial Narrow" w:hAnsi="Arial Narrow" w:cs="Calibri"/>
          <w:bCs/>
          <w:color w:val="000000"/>
          <w:sz w:val="20"/>
          <w:szCs w:val="20"/>
        </w:rPr>
      </w:pPr>
    </w:p>
    <w:p w14:paraId="54299B9A" w14:textId="4E6A6922" w:rsidR="004865F6" w:rsidRPr="0094553C" w:rsidRDefault="004865F6" w:rsidP="00BB409E">
      <w:pPr>
        <w:pStyle w:val="Cuadrculamedia1-nfasis21"/>
        <w:numPr>
          <w:ilvl w:val="0"/>
          <w:numId w:val="2"/>
        </w:numPr>
        <w:spacing w:after="0" w:line="240" w:lineRule="auto"/>
        <w:ind w:left="426" w:right="49"/>
        <w:rPr>
          <w:rFonts w:ascii="Arial Narrow" w:hAnsi="Arial Narrow" w:cs="Calibri"/>
          <w:b/>
          <w:color w:val="000000"/>
          <w:sz w:val="20"/>
          <w:szCs w:val="20"/>
          <w:u w:val="single"/>
        </w:rPr>
      </w:pPr>
      <w:r w:rsidRPr="0094553C">
        <w:rPr>
          <w:rFonts w:ascii="Arial Narrow" w:hAnsi="Arial Narrow" w:cs="Calibri"/>
          <w:b/>
          <w:color w:val="000000"/>
          <w:sz w:val="20"/>
          <w:szCs w:val="20"/>
          <w:u w:val="single"/>
        </w:rPr>
        <w:t>Ámbito de aplicación y sujetos destinatarios</w:t>
      </w:r>
    </w:p>
    <w:p w14:paraId="795F4262" w14:textId="77777777" w:rsidR="004865F6" w:rsidRPr="0094553C" w:rsidRDefault="004865F6" w:rsidP="00BB409E">
      <w:pPr>
        <w:pStyle w:val="Cuadrculamedia1-nfasis21"/>
        <w:spacing w:after="0" w:line="240" w:lineRule="auto"/>
        <w:ind w:left="66" w:right="49"/>
        <w:rPr>
          <w:rFonts w:ascii="Arial Narrow" w:hAnsi="Arial Narrow" w:cs="Calibri"/>
          <w:b/>
          <w:color w:val="000000"/>
          <w:sz w:val="20"/>
          <w:szCs w:val="20"/>
          <w:u w:val="single"/>
        </w:rPr>
      </w:pPr>
    </w:p>
    <w:p w14:paraId="6EC9CD5B" w14:textId="547621F8" w:rsidR="004865F6" w:rsidRPr="0094553C" w:rsidRDefault="00C04BC9" w:rsidP="00BB409E">
      <w:pPr>
        <w:pStyle w:val="Cuadrculamedia1-nfasis21"/>
        <w:spacing w:line="240" w:lineRule="auto"/>
        <w:ind w:left="66" w:right="49"/>
        <w:jc w:val="both"/>
        <w:rPr>
          <w:rFonts w:ascii="Arial Narrow" w:hAnsi="Arial Narrow" w:cs="Calibri"/>
          <w:bCs/>
          <w:color w:val="000000"/>
          <w:sz w:val="20"/>
          <w:szCs w:val="20"/>
        </w:rPr>
      </w:pPr>
      <w:r w:rsidRPr="0094553C">
        <w:rPr>
          <w:rFonts w:ascii="Arial Narrow" w:hAnsi="Arial Narrow" w:cs="Calibri"/>
          <w:bCs/>
          <w:color w:val="000000"/>
          <w:sz w:val="20"/>
          <w:szCs w:val="20"/>
        </w:rPr>
        <w:t xml:space="preserve">Esta </w:t>
      </w:r>
      <w:r w:rsidR="00761134">
        <w:rPr>
          <w:rFonts w:ascii="Arial Narrow" w:hAnsi="Arial Narrow" w:cs="Calibri"/>
          <w:bCs/>
          <w:color w:val="000000"/>
          <w:sz w:val="20"/>
          <w:szCs w:val="20"/>
        </w:rPr>
        <w:t>propuesta de acto administrativo</w:t>
      </w:r>
      <w:r w:rsidRPr="0094553C">
        <w:rPr>
          <w:rFonts w:ascii="Arial Narrow" w:hAnsi="Arial Narrow" w:cs="Calibri"/>
          <w:bCs/>
          <w:color w:val="000000"/>
          <w:sz w:val="20"/>
          <w:szCs w:val="20"/>
        </w:rPr>
        <w:t xml:space="preserve"> </w:t>
      </w:r>
      <w:r w:rsidR="003A36B2" w:rsidRPr="0094553C">
        <w:rPr>
          <w:rFonts w:ascii="Arial Narrow" w:hAnsi="Arial Narrow" w:cs="Calibri"/>
          <w:bCs/>
          <w:color w:val="000000"/>
          <w:sz w:val="20"/>
          <w:szCs w:val="20"/>
        </w:rPr>
        <w:t xml:space="preserve">es de carácter general, de obligatorio cumplimiento en todo el territorio nacional </w:t>
      </w:r>
      <w:r w:rsidR="00761134">
        <w:rPr>
          <w:rFonts w:ascii="Arial Narrow" w:hAnsi="Arial Narrow" w:cs="Calibri"/>
          <w:bCs/>
          <w:color w:val="000000"/>
          <w:sz w:val="20"/>
          <w:szCs w:val="20"/>
        </w:rPr>
        <w:t>y tiene como fin</w:t>
      </w:r>
      <w:r w:rsidR="007470EB" w:rsidRPr="0094553C">
        <w:rPr>
          <w:rFonts w:ascii="Arial Narrow" w:hAnsi="Arial Narrow" w:cs="Calibri"/>
          <w:bCs/>
          <w:color w:val="000000"/>
          <w:sz w:val="20"/>
          <w:szCs w:val="20"/>
        </w:rPr>
        <w:t xml:space="preserve"> excluir del procedimiento</w:t>
      </w:r>
      <w:r w:rsidR="00761134">
        <w:rPr>
          <w:rFonts w:ascii="Arial Narrow" w:hAnsi="Arial Narrow" w:cs="Calibri"/>
          <w:bCs/>
          <w:color w:val="000000"/>
          <w:sz w:val="20"/>
          <w:szCs w:val="20"/>
        </w:rPr>
        <w:t xml:space="preserve"> de audiencias públicas mineras</w:t>
      </w:r>
      <w:r w:rsidR="007470EB" w:rsidRPr="0094553C">
        <w:rPr>
          <w:rFonts w:ascii="Arial Narrow" w:hAnsi="Arial Narrow" w:cs="Calibri"/>
          <w:bCs/>
          <w:color w:val="000000"/>
          <w:sz w:val="20"/>
          <w:szCs w:val="20"/>
        </w:rPr>
        <w:t xml:space="preserve">, las propuestas de contrato de concesión minera con requisitos diferenciales </w:t>
      </w:r>
      <w:r w:rsidR="007470EB" w:rsidRPr="00FB7651">
        <w:rPr>
          <w:rFonts w:ascii="Arial Narrow" w:hAnsi="Arial Narrow" w:cs="Calibri"/>
          <w:bCs/>
          <w:sz w:val="20"/>
          <w:szCs w:val="20"/>
          <w:lang w:eastAsia="es-CO"/>
        </w:rPr>
        <w:t>provenientes de devoluciones de áreas pa</w:t>
      </w:r>
      <w:r w:rsidR="007470EB" w:rsidRPr="00D467D5">
        <w:rPr>
          <w:rFonts w:ascii="Arial Narrow" w:hAnsi="Arial Narrow" w:cs="Calibri"/>
          <w:bCs/>
          <w:sz w:val="20"/>
          <w:szCs w:val="20"/>
          <w:lang w:eastAsia="es-CO"/>
        </w:rPr>
        <w:t>ra formalización minera con beneficiario directo y las que recaigan sobre Áreas de Reserva Estratégica Minera para la Formalización</w:t>
      </w:r>
      <w:r w:rsidR="00FF4B49" w:rsidRPr="0094553C">
        <w:rPr>
          <w:rFonts w:ascii="Arial Narrow" w:hAnsi="Arial Narrow" w:cs="Calibri"/>
          <w:bCs/>
          <w:color w:val="000000"/>
          <w:sz w:val="20"/>
          <w:szCs w:val="20"/>
        </w:rPr>
        <w:t xml:space="preserve">. </w:t>
      </w:r>
      <w:r w:rsidRPr="0094553C">
        <w:rPr>
          <w:rFonts w:ascii="Arial Narrow" w:hAnsi="Arial Narrow" w:cs="Calibri"/>
          <w:bCs/>
          <w:color w:val="000000"/>
          <w:sz w:val="20"/>
          <w:szCs w:val="20"/>
        </w:rPr>
        <w:t xml:space="preserve"> </w:t>
      </w:r>
    </w:p>
    <w:p w14:paraId="54482215" w14:textId="77777777" w:rsidR="004865F6" w:rsidRPr="0094553C" w:rsidRDefault="004865F6" w:rsidP="00BB409E">
      <w:pPr>
        <w:pStyle w:val="Cuadrculamedia1-nfasis21"/>
        <w:spacing w:after="0" w:line="240" w:lineRule="auto"/>
        <w:ind w:left="66" w:right="49"/>
        <w:rPr>
          <w:rFonts w:ascii="Arial Narrow" w:hAnsi="Arial Narrow" w:cs="Calibri"/>
          <w:bCs/>
          <w:color w:val="000000"/>
          <w:sz w:val="20"/>
          <w:szCs w:val="20"/>
        </w:rPr>
      </w:pPr>
    </w:p>
    <w:p w14:paraId="25D473D1" w14:textId="21444C23" w:rsidR="00900692" w:rsidRPr="0094553C" w:rsidRDefault="00361057" w:rsidP="00BB409E">
      <w:pPr>
        <w:pStyle w:val="Cuadrculamedia1-nfasis21"/>
        <w:numPr>
          <w:ilvl w:val="0"/>
          <w:numId w:val="2"/>
        </w:numPr>
        <w:spacing w:after="0" w:line="240" w:lineRule="auto"/>
        <w:ind w:left="426" w:right="49"/>
        <w:rPr>
          <w:rFonts w:ascii="Arial Narrow" w:hAnsi="Arial Narrow" w:cs="Calibri"/>
          <w:b/>
          <w:color w:val="000000"/>
          <w:sz w:val="20"/>
          <w:szCs w:val="20"/>
          <w:u w:val="single"/>
        </w:rPr>
      </w:pPr>
      <w:r w:rsidRPr="0094553C">
        <w:rPr>
          <w:rFonts w:ascii="Arial Narrow" w:hAnsi="Arial Narrow" w:cs="Calibri"/>
          <w:b/>
          <w:color w:val="000000"/>
          <w:sz w:val="20"/>
          <w:szCs w:val="20"/>
          <w:u w:val="single"/>
        </w:rPr>
        <w:t>Viabilidad jurídica</w:t>
      </w:r>
    </w:p>
    <w:p w14:paraId="25D473D2" w14:textId="77777777" w:rsidR="00900692" w:rsidRPr="00FB7651" w:rsidRDefault="00900692" w:rsidP="00BB409E">
      <w:pPr>
        <w:pStyle w:val="Bodytext41"/>
        <w:suppressAutoHyphens/>
        <w:spacing w:line="240" w:lineRule="auto"/>
        <w:ind w:left="380" w:right="49"/>
        <w:rPr>
          <w:rFonts w:ascii="Arial Narrow" w:hAnsi="Arial Narrow" w:cs="Calibri"/>
          <w:color w:val="000000"/>
          <w:sz w:val="20"/>
          <w:szCs w:val="20"/>
          <w:lang w:eastAsia="es-ES_tradnl"/>
        </w:rPr>
      </w:pPr>
    </w:p>
    <w:p w14:paraId="25D473D3" w14:textId="77777777" w:rsidR="00900692" w:rsidRPr="00D467D5" w:rsidRDefault="00361057" w:rsidP="00BB409E">
      <w:pPr>
        <w:pStyle w:val="Bodytext41"/>
        <w:numPr>
          <w:ilvl w:val="0"/>
          <w:numId w:val="4"/>
        </w:numPr>
        <w:suppressAutoHyphens/>
        <w:spacing w:line="240" w:lineRule="auto"/>
        <w:jc w:val="both"/>
        <w:rPr>
          <w:rFonts w:ascii="Arial Narrow" w:hAnsi="Arial Narrow" w:cs="Calibri"/>
          <w:b/>
          <w:bCs/>
          <w:sz w:val="20"/>
          <w:szCs w:val="20"/>
          <w:lang w:eastAsia="es-ES_tradnl"/>
        </w:rPr>
      </w:pPr>
      <w:r w:rsidRPr="00D467D5">
        <w:rPr>
          <w:rFonts w:ascii="Arial Narrow" w:hAnsi="Arial Narrow" w:cs="Calibri"/>
          <w:b/>
          <w:bCs/>
          <w:sz w:val="20"/>
          <w:szCs w:val="20"/>
          <w:lang w:eastAsia="es-ES_tradnl"/>
        </w:rPr>
        <w:t xml:space="preserve">Análisis de normas de competencia: </w:t>
      </w:r>
    </w:p>
    <w:p w14:paraId="25D473D4" w14:textId="77777777" w:rsidR="00900692" w:rsidRPr="00D467D5" w:rsidRDefault="00900692" w:rsidP="00BB409E">
      <w:pPr>
        <w:pStyle w:val="Bodytext41"/>
        <w:suppressAutoHyphens/>
        <w:spacing w:line="240" w:lineRule="auto"/>
        <w:ind w:left="720"/>
        <w:jc w:val="both"/>
        <w:rPr>
          <w:rFonts w:ascii="Arial Narrow" w:hAnsi="Arial Narrow" w:cs="Calibri"/>
          <w:sz w:val="20"/>
          <w:szCs w:val="20"/>
          <w:lang w:eastAsia="es-ES_tradnl"/>
        </w:rPr>
      </w:pPr>
    </w:p>
    <w:p w14:paraId="25D473D5" w14:textId="2383E081" w:rsidR="00900692" w:rsidRPr="0094553C" w:rsidRDefault="00361057" w:rsidP="00BB409E">
      <w:pPr>
        <w:pStyle w:val="Bodytext41"/>
        <w:suppressAutoHyphens/>
        <w:spacing w:line="240" w:lineRule="auto"/>
        <w:jc w:val="both"/>
        <w:rPr>
          <w:rFonts w:ascii="Arial Narrow" w:eastAsia="Arial Unicode MS" w:hAnsi="Arial Narrow" w:cs="Calibri"/>
          <w:sz w:val="20"/>
          <w:szCs w:val="20"/>
          <w:lang w:eastAsia="es-ES"/>
        </w:rPr>
      </w:pPr>
      <w:r w:rsidRPr="0094553C">
        <w:rPr>
          <w:rFonts w:ascii="Arial Narrow" w:eastAsia="Arial Unicode MS" w:hAnsi="Arial Narrow" w:cs="Calibri"/>
          <w:sz w:val="20"/>
          <w:szCs w:val="20"/>
          <w:lang w:eastAsia="es-ES"/>
        </w:rPr>
        <w:t xml:space="preserve">Esta Resolución se ajusta al principio de legalidad y a las funciones de la Agencia Nacional de Minería, con el fin de </w:t>
      </w:r>
      <w:r w:rsidR="003A36B2" w:rsidRPr="0094553C">
        <w:rPr>
          <w:rFonts w:ascii="Arial Narrow" w:eastAsia="Arial Unicode MS" w:hAnsi="Arial Narrow" w:cs="Calibri"/>
          <w:sz w:val="20"/>
          <w:szCs w:val="20"/>
          <w:lang w:eastAsia="es-ES"/>
        </w:rPr>
        <w:t>garantizar el derecho de participación ciudadana y de coordinación, concurrencia y subsidiariedad</w:t>
      </w:r>
      <w:r w:rsidRPr="0094553C">
        <w:rPr>
          <w:rFonts w:ascii="Arial Narrow" w:eastAsia="Arial Unicode MS" w:hAnsi="Arial Narrow" w:cs="Calibri"/>
          <w:sz w:val="20"/>
          <w:szCs w:val="20"/>
          <w:lang w:eastAsia="es-ES"/>
        </w:rPr>
        <w:t xml:space="preserve">. </w:t>
      </w:r>
    </w:p>
    <w:p w14:paraId="281047F0" w14:textId="77777777" w:rsidR="003A36B2" w:rsidRPr="0094553C" w:rsidRDefault="003A36B2" w:rsidP="00BB409E">
      <w:pPr>
        <w:pStyle w:val="Bodytext41"/>
        <w:suppressAutoHyphens/>
        <w:spacing w:line="240" w:lineRule="auto"/>
        <w:jc w:val="both"/>
        <w:rPr>
          <w:rFonts w:ascii="Arial Narrow" w:eastAsia="Arial Unicode MS" w:hAnsi="Arial Narrow" w:cs="Calibri"/>
          <w:sz w:val="20"/>
          <w:szCs w:val="20"/>
          <w:lang w:eastAsia="es-ES"/>
        </w:rPr>
      </w:pPr>
    </w:p>
    <w:p w14:paraId="037A827C" w14:textId="73184364" w:rsidR="00757713" w:rsidRPr="00FB7651" w:rsidRDefault="00757713" w:rsidP="005757F9">
      <w:pPr>
        <w:pStyle w:val="Bodytext41"/>
        <w:suppressAutoHyphens/>
        <w:spacing w:line="240" w:lineRule="auto"/>
        <w:jc w:val="both"/>
        <w:rPr>
          <w:rFonts w:ascii="Arial Narrow" w:hAnsi="Arial Narrow" w:cs="Calibri"/>
          <w:sz w:val="20"/>
          <w:szCs w:val="20"/>
          <w:lang w:eastAsia="es-ES_tradnl"/>
        </w:rPr>
      </w:pPr>
      <w:r w:rsidRPr="00FB7651">
        <w:rPr>
          <w:rFonts w:ascii="Arial Narrow" w:hAnsi="Arial Narrow" w:cs="Calibri"/>
          <w:sz w:val="20"/>
          <w:szCs w:val="20"/>
          <w:lang w:eastAsia="es-ES_tradnl"/>
        </w:rPr>
        <w:lastRenderedPageBreak/>
        <w:t xml:space="preserve">Su competencia radica en </w:t>
      </w:r>
      <w:r w:rsidRPr="00D467D5">
        <w:rPr>
          <w:rFonts w:ascii="Arial Narrow" w:hAnsi="Arial Narrow" w:cs="Calibri"/>
          <w:sz w:val="20"/>
          <w:szCs w:val="20"/>
          <w:lang w:eastAsia="es-ES_tradnl"/>
        </w:rPr>
        <w:t>el Decreto Ley 4134 de 2011, modificado por el Decreto No. 1681 de 2020, que crea a la Agencia Nacional de Minería con el objeto de administrar integralmente los recursos minerales de propiedad del Estado, promover el aprovechamiento óptimo y sostenible de los recursos mineros de conformidad con las normas pertinentes.</w:t>
      </w:r>
    </w:p>
    <w:p w14:paraId="04A67C00" w14:textId="77777777" w:rsidR="00757713" w:rsidRPr="00FB7651" w:rsidRDefault="00757713" w:rsidP="005757F9">
      <w:pPr>
        <w:pStyle w:val="Bodytext41"/>
        <w:suppressAutoHyphens/>
        <w:spacing w:line="240" w:lineRule="auto"/>
        <w:jc w:val="both"/>
        <w:rPr>
          <w:rFonts w:ascii="Arial Narrow" w:hAnsi="Arial Narrow" w:cs="Calibri"/>
          <w:sz w:val="20"/>
          <w:szCs w:val="20"/>
          <w:lang w:eastAsia="es-ES_tradnl"/>
        </w:rPr>
      </w:pPr>
    </w:p>
    <w:p w14:paraId="0B55DCC8" w14:textId="4453784D" w:rsidR="00757713" w:rsidRPr="00FB7651" w:rsidRDefault="00757713" w:rsidP="005757F9">
      <w:pPr>
        <w:pStyle w:val="Bodytext41"/>
        <w:suppressAutoHyphens/>
        <w:jc w:val="both"/>
        <w:rPr>
          <w:rFonts w:ascii="Arial Narrow" w:hAnsi="Arial Narrow" w:cs="Calibri"/>
          <w:sz w:val="20"/>
          <w:szCs w:val="20"/>
          <w:lang w:eastAsia="es-ES_tradnl"/>
        </w:rPr>
      </w:pPr>
      <w:r w:rsidRPr="00FB7651">
        <w:rPr>
          <w:rFonts w:ascii="Arial Narrow" w:hAnsi="Arial Narrow" w:cs="Calibri"/>
          <w:sz w:val="20"/>
          <w:szCs w:val="20"/>
          <w:lang w:eastAsia="es-ES_tradnl"/>
        </w:rPr>
        <w:t xml:space="preserve">Adicionalmente se fundamenta en lo dispuesto en el </w:t>
      </w:r>
      <w:r w:rsidR="005757F9" w:rsidRPr="00FB7651">
        <w:rPr>
          <w:rFonts w:ascii="Arial Narrow" w:hAnsi="Arial Narrow" w:cs="Calibri"/>
          <w:sz w:val="20"/>
          <w:szCs w:val="20"/>
          <w:lang w:eastAsia="es-ES_tradnl"/>
        </w:rPr>
        <w:t>parágrafo 1 del artículo 5° de la Ley 2250 del 11 de Julio de 2022 sobre las áreas de reserva para formalización se otorgarán a través de contratos de concesión con requisitos diferenciales y el artículo 2.2.5.4.4.1.3.1 del Decreto No. 1378 de 2020, que dispone que la propuesta de contrato de concesión con requisitos diferenciales se presentará por los Mineros de Pequeña Escala y por los Beneficiarios de Devolución de Áreas.</w:t>
      </w:r>
    </w:p>
    <w:p w14:paraId="18F37268" w14:textId="77777777" w:rsidR="00757713" w:rsidRPr="00FB7651" w:rsidRDefault="00757713" w:rsidP="00BB409E">
      <w:pPr>
        <w:pStyle w:val="Bodytext41"/>
        <w:suppressAutoHyphens/>
        <w:ind w:left="-142"/>
        <w:jc w:val="both"/>
        <w:rPr>
          <w:rFonts w:ascii="Arial Narrow" w:hAnsi="Arial Narrow" w:cs="Calibri"/>
          <w:sz w:val="20"/>
          <w:szCs w:val="20"/>
          <w:lang w:eastAsia="es-ES_tradnl"/>
        </w:rPr>
      </w:pPr>
    </w:p>
    <w:p w14:paraId="2DFA6F28" w14:textId="77777777" w:rsidR="00AB3C50" w:rsidRPr="00FB7651" w:rsidRDefault="00AB3C50" w:rsidP="00BB409E">
      <w:pPr>
        <w:pStyle w:val="Bodytext41"/>
        <w:suppressAutoHyphens/>
        <w:spacing w:line="240" w:lineRule="auto"/>
        <w:ind w:left="-142"/>
        <w:jc w:val="both"/>
        <w:rPr>
          <w:rFonts w:ascii="Arial Narrow" w:hAnsi="Arial Narrow" w:cs="Calibri"/>
          <w:sz w:val="20"/>
          <w:szCs w:val="20"/>
          <w:lang w:eastAsia="es-ES_tradnl"/>
        </w:rPr>
      </w:pPr>
    </w:p>
    <w:p w14:paraId="25D473D7" w14:textId="5C0B29F5" w:rsidR="00900692" w:rsidRPr="00FB7651" w:rsidRDefault="00361057" w:rsidP="00BB409E">
      <w:pPr>
        <w:pStyle w:val="Bodytext41"/>
        <w:numPr>
          <w:ilvl w:val="0"/>
          <w:numId w:val="4"/>
        </w:numPr>
        <w:suppressAutoHyphens/>
        <w:spacing w:line="240" w:lineRule="auto"/>
        <w:jc w:val="both"/>
        <w:rPr>
          <w:rFonts w:ascii="Arial Narrow" w:hAnsi="Arial Narrow" w:cs="Calibri"/>
          <w:b/>
          <w:bCs/>
          <w:sz w:val="20"/>
          <w:szCs w:val="20"/>
          <w:lang w:eastAsia="es-ES_tradnl"/>
        </w:rPr>
      </w:pPr>
      <w:r w:rsidRPr="00FB7651">
        <w:rPr>
          <w:rFonts w:ascii="Arial Narrow" w:hAnsi="Arial Narrow" w:cs="Calibri"/>
          <w:b/>
          <w:bCs/>
          <w:sz w:val="20"/>
          <w:szCs w:val="20"/>
          <w:lang w:eastAsia="es-ES_tradnl"/>
        </w:rPr>
        <w:t>Análisis de normas que desarrolla y/o modifica:</w:t>
      </w:r>
    </w:p>
    <w:p w14:paraId="25D473D8" w14:textId="77777777" w:rsidR="00900692" w:rsidRPr="00FB7651" w:rsidRDefault="00900692" w:rsidP="00BB409E">
      <w:pPr>
        <w:pStyle w:val="Bodytext41"/>
        <w:suppressAutoHyphens/>
        <w:spacing w:line="240" w:lineRule="auto"/>
        <w:ind w:left="380" w:right="49"/>
        <w:rPr>
          <w:rFonts w:ascii="Arial Narrow" w:hAnsi="Arial Narrow" w:cs="Calibri"/>
          <w:color w:val="000000"/>
          <w:sz w:val="20"/>
          <w:szCs w:val="20"/>
          <w:lang w:eastAsia="es-ES_tradnl"/>
        </w:rPr>
      </w:pPr>
    </w:p>
    <w:p w14:paraId="79F6003F" w14:textId="3D1752C1" w:rsidR="00761134" w:rsidRPr="000B793A" w:rsidRDefault="00757713" w:rsidP="00761134">
      <w:pPr>
        <w:ind w:right="49"/>
        <w:jc w:val="both"/>
        <w:rPr>
          <w:rFonts w:ascii="Arial Narrow" w:hAnsi="Arial Narrow"/>
          <w:sz w:val="20"/>
          <w:szCs w:val="20"/>
        </w:rPr>
      </w:pPr>
      <w:r w:rsidRPr="00761134">
        <w:rPr>
          <w:rFonts w:ascii="Arial Narrow" w:hAnsi="Arial Narrow" w:cs="Calibri"/>
          <w:sz w:val="20"/>
          <w:szCs w:val="20"/>
          <w:lang w:eastAsia="es-ES_tradnl"/>
        </w:rPr>
        <w:t xml:space="preserve">Con la expedición de la Resolución </w:t>
      </w:r>
      <w:r w:rsidR="00BB409E" w:rsidRPr="00761134">
        <w:rPr>
          <w:rFonts w:ascii="Arial Narrow" w:hAnsi="Arial Narrow" w:cs="Calibri"/>
          <w:sz w:val="20"/>
          <w:szCs w:val="20"/>
          <w:lang w:eastAsia="es-ES_tradnl"/>
        </w:rPr>
        <w:t>“</w:t>
      </w:r>
      <w:r w:rsidR="00AB3C50" w:rsidRPr="00761134">
        <w:rPr>
          <w:rFonts w:ascii="Arial Narrow" w:hAnsi="Arial Narrow" w:cs="Calibri"/>
          <w:i/>
          <w:iCs/>
          <w:sz w:val="20"/>
          <w:szCs w:val="20"/>
          <w:lang w:eastAsia="es-ES_tradnl"/>
        </w:rPr>
        <w:t>Por la cual se modifica parcialmente la Resolución No. 1099 del 22 de diciembre de 2023, respecto al ámbito de aplicación del procedimiento de Audiencia Pública Minera para el otorgamiento de títulos mineros</w:t>
      </w:r>
      <w:r w:rsidRPr="00761134">
        <w:rPr>
          <w:rFonts w:ascii="Arial Narrow" w:hAnsi="Arial Narrow" w:cs="Calibri"/>
          <w:sz w:val="20"/>
          <w:szCs w:val="20"/>
          <w:lang w:eastAsia="es-ES_tradnl"/>
        </w:rPr>
        <w:t>”</w:t>
      </w:r>
      <w:r w:rsidR="00571B6C" w:rsidRPr="00761134">
        <w:rPr>
          <w:rFonts w:ascii="Arial Narrow" w:hAnsi="Arial Narrow" w:cs="Calibri"/>
          <w:sz w:val="20"/>
          <w:szCs w:val="20"/>
          <w:lang w:eastAsia="es-ES_tradnl"/>
        </w:rPr>
        <w:t xml:space="preserve">, </w:t>
      </w:r>
      <w:r w:rsidR="00761134">
        <w:rPr>
          <w:rFonts w:ascii="Arial Narrow" w:hAnsi="Arial Narrow" w:cs="Calibri"/>
          <w:sz w:val="20"/>
          <w:szCs w:val="20"/>
          <w:lang w:eastAsia="es-ES_tradnl"/>
        </w:rPr>
        <w:t>se pretende</w:t>
      </w:r>
      <w:r w:rsidR="00AB3C50" w:rsidRPr="00761134">
        <w:rPr>
          <w:rFonts w:ascii="Arial Narrow" w:hAnsi="Arial Narrow" w:cs="Calibri"/>
          <w:sz w:val="20"/>
          <w:szCs w:val="20"/>
          <w:lang w:eastAsia="es-ES_tradnl"/>
        </w:rPr>
        <w:t xml:space="preserve"> excluir del</w:t>
      </w:r>
      <w:r w:rsidR="00761134">
        <w:rPr>
          <w:rFonts w:ascii="Arial Narrow" w:hAnsi="Arial Narrow" w:cs="Calibri"/>
          <w:sz w:val="20"/>
          <w:szCs w:val="20"/>
          <w:lang w:eastAsia="es-ES_tradnl"/>
        </w:rPr>
        <w:t xml:space="preserve"> ámbito de aplicación del</w:t>
      </w:r>
      <w:r w:rsidR="00AB3C50" w:rsidRPr="00761134">
        <w:rPr>
          <w:rFonts w:ascii="Arial Narrow" w:hAnsi="Arial Narrow" w:cs="Calibri"/>
          <w:sz w:val="20"/>
          <w:szCs w:val="20"/>
          <w:lang w:eastAsia="es-ES_tradnl"/>
        </w:rPr>
        <w:t xml:space="preserve"> procedimiento</w:t>
      </w:r>
      <w:r w:rsidR="00761134">
        <w:rPr>
          <w:rFonts w:ascii="Arial Narrow" w:hAnsi="Arial Narrow" w:cs="Calibri"/>
          <w:sz w:val="20"/>
          <w:szCs w:val="20"/>
          <w:lang w:eastAsia="es-ES_tradnl"/>
        </w:rPr>
        <w:t xml:space="preserve"> previsto en la Resolución 1099 de 2023,</w:t>
      </w:r>
      <w:r w:rsidR="00AB3C50" w:rsidRPr="00761134">
        <w:rPr>
          <w:rFonts w:ascii="Arial Narrow" w:hAnsi="Arial Narrow" w:cs="Calibri"/>
          <w:sz w:val="20"/>
          <w:szCs w:val="20"/>
          <w:lang w:eastAsia="es-ES_tradnl"/>
        </w:rPr>
        <w:t xml:space="preserve"> las solicitudes de propuestas de contrato de concesión con requisitos diferenciales </w:t>
      </w:r>
      <w:r w:rsidR="00AB3C50" w:rsidRPr="00761134">
        <w:rPr>
          <w:rFonts w:ascii="Arial Narrow" w:hAnsi="Arial Narrow" w:cs="Calibri"/>
          <w:bCs/>
          <w:sz w:val="20"/>
          <w:szCs w:val="20"/>
          <w:lang w:eastAsia="es-CO"/>
        </w:rPr>
        <w:t xml:space="preserve">provenientes de </w:t>
      </w:r>
      <w:r w:rsidR="00761134">
        <w:rPr>
          <w:rFonts w:ascii="Arial Narrow" w:hAnsi="Arial Narrow" w:cs="Calibri"/>
          <w:bCs/>
          <w:sz w:val="20"/>
          <w:szCs w:val="20"/>
          <w:lang w:eastAsia="es-CO"/>
        </w:rPr>
        <w:t xml:space="preserve">(i) </w:t>
      </w:r>
      <w:r w:rsidR="00AB3C50" w:rsidRPr="00761134">
        <w:rPr>
          <w:rFonts w:ascii="Arial Narrow" w:hAnsi="Arial Narrow" w:cs="Calibri"/>
          <w:bCs/>
          <w:sz w:val="20"/>
          <w:szCs w:val="20"/>
          <w:lang w:eastAsia="es-CO"/>
        </w:rPr>
        <w:t xml:space="preserve">devoluciones de áreas para formalización minera con beneficiario directo y </w:t>
      </w:r>
      <w:r w:rsidR="00761134">
        <w:rPr>
          <w:rFonts w:ascii="Arial Narrow" w:hAnsi="Arial Narrow" w:cs="Calibri"/>
          <w:bCs/>
          <w:sz w:val="20"/>
          <w:szCs w:val="20"/>
          <w:lang w:eastAsia="es-CO"/>
        </w:rPr>
        <w:t>(</w:t>
      </w:r>
      <w:proofErr w:type="spellStart"/>
      <w:r w:rsidR="00761134">
        <w:rPr>
          <w:rFonts w:ascii="Arial Narrow" w:hAnsi="Arial Narrow" w:cs="Calibri"/>
          <w:bCs/>
          <w:sz w:val="20"/>
          <w:szCs w:val="20"/>
          <w:lang w:eastAsia="es-CO"/>
        </w:rPr>
        <w:t>ii</w:t>
      </w:r>
      <w:proofErr w:type="spellEnd"/>
      <w:r w:rsidR="00761134">
        <w:rPr>
          <w:rFonts w:ascii="Arial Narrow" w:hAnsi="Arial Narrow" w:cs="Calibri"/>
          <w:bCs/>
          <w:sz w:val="20"/>
          <w:szCs w:val="20"/>
          <w:lang w:eastAsia="es-CO"/>
        </w:rPr>
        <w:t xml:space="preserve">) las </w:t>
      </w:r>
      <w:r w:rsidR="00AB3C50" w:rsidRPr="00761134">
        <w:rPr>
          <w:rFonts w:ascii="Arial Narrow" w:hAnsi="Arial Narrow" w:cs="Calibri"/>
          <w:bCs/>
          <w:sz w:val="20"/>
          <w:szCs w:val="20"/>
          <w:lang w:eastAsia="es-CO"/>
        </w:rPr>
        <w:t>que recaigan sobre Áreas de Reserva Estratégica Minera para la Formalización</w:t>
      </w:r>
      <w:r w:rsidR="00761134">
        <w:rPr>
          <w:rFonts w:ascii="Arial Narrow" w:hAnsi="Arial Narrow" w:cs="Calibri"/>
          <w:sz w:val="20"/>
          <w:szCs w:val="20"/>
          <w:lang w:eastAsia="es-ES_tradnl"/>
        </w:rPr>
        <w:t xml:space="preserve">, por estar </w:t>
      </w:r>
      <w:r w:rsidR="00761134" w:rsidRPr="000B793A">
        <w:rPr>
          <w:rFonts w:ascii="Arial Narrow" w:hAnsi="Arial Narrow" w:cs="Calibri"/>
          <w:bCs/>
          <w:sz w:val="20"/>
          <w:szCs w:val="20"/>
          <w:lang w:eastAsia="es-CO"/>
        </w:rPr>
        <w:t>enmarcadas en un proceso especial y diferente al ordinario, con un objetivo c</w:t>
      </w:r>
      <w:r w:rsidR="00761134">
        <w:rPr>
          <w:rFonts w:ascii="Arial Narrow" w:hAnsi="Arial Narrow" w:cs="Calibri"/>
          <w:bCs/>
          <w:sz w:val="20"/>
          <w:szCs w:val="20"/>
          <w:lang w:eastAsia="es-CO"/>
        </w:rPr>
        <w:t>laro</w:t>
      </w:r>
      <w:r w:rsidR="00761134" w:rsidRPr="000B793A">
        <w:rPr>
          <w:rFonts w:ascii="Arial Narrow" w:hAnsi="Arial Narrow" w:cs="Calibri"/>
          <w:bCs/>
          <w:sz w:val="20"/>
          <w:szCs w:val="20"/>
          <w:lang w:eastAsia="es-CO"/>
        </w:rPr>
        <w:t xml:space="preserve"> que es contribuir a la formalización de pequeños mineros en el territorio nacional. </w:t>
      </w:r>
      <w:r w:rsidR="00761134" w:rsidRPr="000B793A">
        <w:rPr>
          <w:rFonts w:ascii="Arial Narrow" w:hAnsi="Arial Narrow" w:cs="Calibri"/>
          <w:color w:val="000000"/>
          <w:sz w:val="20"/>
          <w:szCs w:val="20"/>
        </w:rPr>
        <w:t xml:space="preserve">  </w:t>
      </w:r>
    </w:p>
    <w:p w14:paraId="25D473DA" w14:textId="42CE8AEF" w:rsidR="00900692" w:rsidRPr="00761134" w:rsidRDefault="00900692" w:rsidP="00BB409E">
      <w:pPr>
        <w:ind w:left="20" w:right="49"/>
        <w:jc w:val="both"/>
        <w:rPr>
          <w:rFonts w:ascii="Arial Narrow" w:hAnsi="Arial Narrow" w:cs="Calibri"/>
          <w:sz w:val="20"/>
          <w:szCs w:val="20"/>
          <w:lang w:eastAsia="es-ES_tradnl"/>
        </w:rPr>
      </w:pPr>
    </w:p>
    <w:p w14:paraId="668EB86A" w14:textId="77777777" w:rsidR="00757713" w:rsidRPr="00D467D5" w:rsidRDefault="00757713" w:rsidP="0094553C">
      <w:pPr>
        <w:ind w:right="49"/>
        <w:jc w:val="both"/>
        <w:rPr>
          <w:rFonts w:ascii="Arial Narrow" w:hAnsi="Arial Narrow" w:cs="Calibri"/>
          <w:i/>
          <w:iCs/>
          <w:color w:val="000000"/>
          <w:sz w:val="20"/>
          <w:szCs w:val="20"/>
        </w:rPr>
      </w:pPr>
    </w:p>
    <w:p w14:paraId="2100BC8D" w14:textId="77777777" w:rsidR="00AB3C50" w:rsidRPr="00D467D5" w:rsidRDefault="00AB3C50" w:rsidP="00BB409E">
      <w:pPr>
        <w:ind w:left="20" w:right="49"/>
        <w:jc w:val="both"/>
        <w:rPr>
          <w:rFonts w:ascii="Arial Narrow" w:hAnsi="Arial Narrow" w:cs="Calibri"/>
          <w:i/>
          <w:iCs/>
          <w:color w:val="000000"/>
          <w:sz w:val="20"/>
          <w:szCs w:val="20"/>
        </w:rPr>
      </w:pPr>
    </w:p>
    <w:p w14:paraId="25D473DC" w14:textId="08B4BDFB" w:rsidR="00900692" w:rsidRPr="0094553C" w:rsidRDefault="00361057" w:rsidP="0094553C">
      <w:pPr>
        <w:pStyle w:val="Cuadrculamedia1-nfasis21"/>
        <w:numPr>
          <w:ilvl w:val="0"/>
          <w:numId w:val="2"/>
        </w:numPr>
        <w:spacing w:after="0" w:line="240" w:lineRule="auto"/>
        <w:ind w:left="426" w:right="49"/>
        <w:rPr>
          <w:rFonts w:ascii="Arial Narrow" w:eastAsia="Arial Unicode MS" w:hAnsi="Arial Narrow" w:cs="Calibri"/>
          <w:color w:val="000000"/>
          <w:sz w:val="20"/>
          <w:szCs w:val="20"/>
          <w:lang w:eastAsia="es-ES"/>
        </w:rPr>
      </w:pPr>
      <w:bookmarkStart w:id="0" w:name="bookmark1"/>
      <w:r w:rsidRPr="0094553C">
        <w:rPr>
          <w:rFonts w:ascii="Arial Narrow" w:hAnsi="Arial Narrow" w:cs="Calibri"/>
          <w:b/>
          <w:color w:val="000000"/>
          <w:sz w:val="20"/>
          <w:szCs w:val="20"/>
          <w:u w:val="single"/>
        </w:rPr>
        <w:t>Impacto económico</w:t>
      </w:r>
      <w:bookmarkEnd w:id="0"/>
      <w:r w:rsidRPr="0094553C">
        <w:rPr>
          <w:rFonts w:ascii="Arial Narrow" w:hAnsi="Arial Narrow" w:cs="Calibri"/>
          <w:b/>
          <w:color w:val="000000"/>
          <w:sz w:val="20"/>
          <w:szCs w:val="20"/>
          <w:u w:val="single"/>
        </w:rPr>
        <w:t xml:space="preserve"> (indicar el costo o ahorro, de la implementación del respectivo acto)</w:t>
      </w:r>
    </w:p>
    <w:p w14:paraId="1B846960" w14:textId="77777777" w:rsidR="00F10490" w:rsidRDefault="00F10490" w:rsidP="00F10490">
      <w:pPr>
        <w:ind w:right="49"/>
        <w:jc w:val="both"/>
        <w:rPr>
          <w:rFonts w:ascii="Arial Narrow" w:hAnsi="Arial Narrow" w:cs="Calibri"/>
          <w:bCs/>
          <w:sz w:val="20"/>
          <w:szCs w:val="20"/>
          <w:lang w:eastAsia="es-CO"/>
        </w:rPr>
      </w:pPr>
    </w:p>
    <w:p w14:paraId="0F42E08F" w14:textId="00E63B7A" w:rsidR="00F10490" w:rsidRPr="0094553C" w:rsidRDefault="00F10490" w:rsidP="0094553C">
      <w:pPr>
        <w:ind w:right="49"/>
        <w:jc w:val="both"/>
        <w:rPr>
          <w:rFonts w:ascii="Arial Narrow" w:hAnsi="Arial Narrow" w:cs="Calibri"/>
          <w:b/>
          <w:bCs/>
          <w:sz w:val="20"/>
          <w:szCs w:val="20"/>
          <w:lang w:eastAsia="es-CO"/>
        </w:rPr>
      </w:pPr>
      <w:r w:rsidRPr="0094553C">
        <w:rPr>
          <w:rFonts w:ascii="Arial Narrow" w:hAnsi="Arial Narrow" w:cs="Calibri"/>
          <w:bCs/>
          <w:sz w:val="20"/>
          <w:szCs w:val="20"/>
          <w:lang w:eastAsia="es-CO"/>
        </w:rPr>
        <w:t>El proyecto de resolución no conlleva implícito costo económico alguno para su implementación por parte de la Agencia Nacional de Minería ni para los usuarios externos de la misma. De igual manera, para la aplicación del acto administrativo en trámite, no se requiere apropiación presupuestal.</w:t>
      </w:r>
    </w:p>
    <w:p w14:paraId="25D473E2" w14:textId="77777777" w:rsidR="00900692" w:rsidRPr="0094553C" w:rsidRDefault="00900692" w:rsidP="00BB409E">
      <w:pPr>
        <w:ind w:right="49"/>
        <w:jc w:val="both"/>
        <w:rPr>
          <w:rFonts w:ascii="Arial Narrow" w:eastAsia="Arial Unicode MS" w:hAnsi="Arial Narrow" w:cs="Calibri"/>
          <w:color w:val="000000"/>
          <w:sz w:val="20"/>
          <w:szCs w:val="20"/>
          <w:lang w:eastAsia="es-ES"/>
        </w:rPr>
      </w:pPr>
    </w:p>
    <w:p w14:paraId="37C73C7B" w14:textId="77777777" w:rsidR="00AB3C50" w:rsidRPr="0094553C" w:rsidRDefault="00AB3C50" w:rsidP="00BB409E">
      <w:pPr>
        <w:ind w:right="49"/>
        <w:jc w:val="both"/>
        <w:rPr>
          <w:rFonts w:ascii="Arial Narrow" w:eastAsia="Arial Unicode MS" w:hAnsi="Arial Narrow" w:cs="Calibri"/>
          <w:color w:val="000000"/>
          <w:sz w:val="20"/>
          <w:szCs w:val="20"/>
          <w:lang w:eastAsia="es-ES"/>
        </w:rPr>
      </w:pPr>
    </w:p>
    <w:p w14:paraId="25D473E3" w14:textId="77777777" w:rsidR="00900692" w:rsidRPr="0094553C" w:rsidRDefault="00361057" w:rsidP="00BB409E">
      <w:pPr>
        <w:pStyle w:val="Cuadrculamedia1-nfasis21"/>
        <w:numPr>
          <w:ilvl w:val="0"/>
          <w:numId w:val="2"/>
        </w:numPr>
        <w:spacing w:after="0" w:line="240" w:lineRule="auto"/>
        <w:ind w:left="426" w:right="49"/>
        <w:rPr>
          <w:rFonts w:ascii="Arial Narrow" w:hAnsi="Arial Narrow" w:cs="Calibri"/>
          <w:b/>
          <w:color w:val="000000"/>
          <w:sz w:val="20"/>
          <w:szCs w:val="20"/>
          <w:u w:val="single"/>
        </w:rPr>
      </w:pPr>
      <w:bookmarkStart w:id="1" w:name="bookmark3"/>
      <w:r w:rsidRPr="0094553C">
        <w:rPr>
          <w:rFonts w:ascii="Arial Narrow" w:hAnsi="Arial Narrow" w:cs="Calibri"/>
          <w:b/>
          <w:color w:val="000000"/>
          <w:sz w:val="20"/>
          <w:szCs w:val="20"/>
          <w:u w:val="single"/>
        </w:rPr>
        <w:t>Impacto medioambiental o sobre el patrimonio cultural de la Nación</w:t>
      </w:r>
      <w:bookmarkEnd w:id="1"/>
      <w:r w:rsidRPr="0094553C">
        <w:rPr>
          <w:rFonts w:ascii="Arial Narrow" w:hAnsi="Arial Narrow" w:cs="Calibri"/>
          <w:b/>
          <w:color w:val="000000"/>
          <w:sz w:val="20"/>
          <w:szCs w:val="20"/>
          <w:u w:val="single"/>
        </w:rPr>
        <w:t xml:space="preserve">. </w:t>
      </w:r>
    </w:p>
    <w:p w14:paraId="25D473E4" w14:textId="77777777" w:rsidR="00900692" w:rsidRPr="00FB7651" w:rsidRDefault="00900692" w:rsidP="00BB409E">
      <w:pPr>
        <w:pStyle w:val="Bodytext1"/>
        <w:suppressAutoHyphens/>
        <w:spacing w:before="0" w:after="0" w:line="240" w:lineRule="auto"/>
        <w:ind w:right="49"/>
        <w:rPr>
          <w:rFonts w:ascii="Arial Narrow" w:hAnsi="Arial Narrow" w:cs="Calibri"/>
          <w:color w:val="000000"/>
          <w:sz w:val="20"/>
          <w:szCs w:val="20"/>
          <w:u w:val="single"/>
        </w:rPr>
      </w:pPr>
    </w:p>
    <w:p w14:paraId="25D473E5" w14:textId="77777777" w:rsidR="00900692" w:rsidRPr="00D467D5" w:rsidRDefault="00361057" w:rsidP="00BB409E">
      <w:pPr>
        <w:pStyle w:val="Bodytext1"/>
        <w:suppressAutoHyphens/>
        <w:spacing w:before="0" w:after="0" w:line="240" w:lineRule="auto"/>
        <w:ind w:right="49"/>
        <w:rPr>
          <w:rFonts w:ascii="Arial Narrow" w:hAnsi="Arial Narrow" w:cs="Calibri"/>
          <w:color w:val="000000"/>
          <w:sz w:val="20"/>
          <w:szCs w:val="20"/>
        </w:rPr>
      </w:pPr>
      <w:r w:rsidRPr="00D467D5">
        <w:rPr>
          <w:rFonts w:ascii="Arial Narrow" w:hAnsi="Arial Narrow" w:cs="Calibri"/>
          <w:color w:val="000000"/>
          <w:sz w:val="20"/>
          <w:szCs w:val="20"/>
        </w:rPr>
        <w:t xml:space="preserve">El acto administrativo de carácter </w:t>
      </w:r>
      <w:proofErr w:type="gramStart"/>
      <w:r w:rsidRPr="00D467D5">
        <w:rPr>
          <w:rFonts w:ascii="Arial Narrow" w:hAnsi="Arial Narrow" w:cs="Calibri"/>
          <w:color w:val="000000"/>
          <w:sz w:val="20"/>
          <w:szCs w:val="20"/>
        </w:rPr>
        <w:t>general,</w:t>
      </w:r>
      <w:proofErr w:type="gramEnd"/>
      <w:r w:rsidRPr="00D467D5">
        <w:rPr>
          <w:rFonts w:ascii="Arial Narrow" w:hAnsi="Arial Narrow" w:cs="Calibri"/>
          <w:color w:val="000000"/>
          <w:sz w:val="20"/>
          <w:szCs w:val="20"/>
        </w:rPr>
        <w:t xml:space="preserve"> no genera impactos medioambientales o sobre el patrimonio cultural de la Nación.</w:t>
      </w:r>
    </w:p>
    <w:p w14:paraId="25D473E6" w14:textId="77777777" w:rsidR="00900692" w:rsidRPr="00D467D5" w:rsidRDefault="00900692" w:rsidP="00BB409E">
      <w:pPr>
        <w:pStyle w:val="Bodytext1"/>
        <w:suppressAutoHyphens/>
        <w:spacing w:before="0" w:after="0" w:line="240" w:lineRule="auto"/>
        <w:ind w:right="49"/>
        <w:rPr>
          <w:rFonts w:ascii="Arial Narrow" w:hAnsi="Arial Narrow" w:cs="Calibri"/>
          <w:color w:val="000000"/>
          <w:sz w:val="20"/>
          <w:szCs w:val="20"/>
        </w:rPr>
      </w:pPr>
    </w:p>
    <w:p w14:paraId="578083A7" w14:textId="77777777" w:rsidR="00AB3C50" w:rsidRPr="00D467D5" w:rsidRDefault="00AB3C50" w:rsidP="00BB409E">
      <w:pPr>
        <w:pStyle w:val="Bodytext1"/>
        <w:suppressAutoHyphens/>
        <w:spacing w:before="0" w:after="0" w:line="240" w:lineRule="auto"/>
        <w:ind w:right="49"/>
        <w:rPr>
          <w:rFonts w:ascii="Arial Narrow" w:hAnsi="Arial Narrow" w:cs="Calibri"/>
          <w:color w:val="000000"/>
          <w:sz w:val="20"/>
          <w:szCs w:val="20"/>
        </w:rPr>
      </w:pPr>
    </w:p>
    <w:p w14:paraId="25D473E7" w14:textId="77777777" w:rsidR="00900692" w:rsidRPr="0094553C" w:rsidRDefault="00361057" w:rsidP="00BB409E">
      <w:pPr>
        <w:pStyle w:val="Cuadrculamedia1-nfasis21"/>
        <w:numPr>
          <w:ilvl w:val="0"/>
          <w:numId w:val="2"/>
        </w:numPr>
        <w:spacing w:after="0" w:line="240" w:lineRule="auto"/>
        <w:ind w:left="426" w:right="49"/>
        <w:rPr>
          <w:rFonts w:ascii="Arial Narrow" w:hAnsi="Arial Narrow" w:cs="Calibri"/>
          <w:b/>
          <w:color w:val="000000"/>
          <w:sz w:val="20"/>
          <w:szCs w:val="20"/>
          <w:u w:val="single"/>
        </w:rPr>
      </w:pPr>
      <w:bookmarkStart w:id="2" w:name="bookmark4"/>
      <w:r w:rsidRPr="0094553C">
        <w:rPr>
          <w:rFonts w:ascii="Arial Narrow" w:hAnsi="Arial Narrow" w:cs="Calibri"/>
          <w:b/>
          <w:color w:val="000000"/>
          <w:sz w:val="20"/>
          <w:szCs w:val="20"/>
          <w:u w:val="single"/>
        </w:rPr>
        <w:t>Consulta Previa y Publicidad</w:t>
      </w:r>
      <w:bookmarkEnd w:id="2"/>
      <w:r w:rsidRPr="0094553C">
        <w:rPr>
          <w:rFonts w:ascii="Arial Narrow" w:hAnsi="Arial Narrow" w:cs="Calibri"/>
          <w:b/>
          <w:color w:val="000000"/>
          <w:sz w:val="20"/>
          <w:szCs w:val="20"/>
          <w:u w:val="single"/>
        </w:rPr>
        <w:t xml:space="preserve"> (Decreto 1081 de 2015 y Decreto 270 de 2017).</w:t>
      </w:r>
    </w:p>
    <w:p w14:paraId="25D473E8" w14:textId="77777777" w:rsidR="00900692" w:rsidRPr="0094553C" w:rsidRDefault="00900692" w:rsidP="00BB409E">
      <w:pPr>
        <w:pStyle w:val="Cuadrculamedia1-nfasis21"/>
        <w:spacing w:after="0" w:line="240" w:lineRule="auto"/>
        <w:ind w:right="49"/>
        <w:rPr>
          <w:rFonts w:ascii="Arial Narrow" w:hAnsi="Arial Narrow" w:cs="Calibri"/>
          <w:b/>
          <w:color w:val="000000"/>
          <w:sz w:val="20"/>
          <w:szCs w:val="20"/>
        </w:rPr>
      </w:pPr>
    </w:p>
    <w:p w14:paraId="25D473E9" w14:textId="77777777" w:rsidR="00900692" w:rsidRPr="00FB7651" w:rsidRDefault="00361057" w:rsidP="00BB409E">
      <w:pPr>
        <w:ind w:right="49"/>
        <w:jc w:val="both"/>
        <w:rPr>
          <w:rFonts w:ascii="Arial Narrow" w:hAnsi="Arial Narrow"/>
          <w:sz w:val="20"/>
          <w:szCs w:val="20"/>
        </w:rPr>
      </w:pPr>
      <w:r w:rsidRPr="0094553C">
        <w:rPr>
          <w:rFonts w:ascii="Arial Narrow" w:hAnsi="Arial Narrow" w:cs="Calibri"/>
          <w:color w:val="000000"/>
          <w:sz w:val="20"/>
          <w:szCs w:val="20"/>
        </w:rPr>
        <w:t>El artículo 9° del Decreto 1345 de 2010 indica “</w:t>
      </w:r>
      <w:r w:rsidRPr="0094553C">
        <w:rPr>
          <w:rFonts w:ascii="Arial Narrow" w:hAnsi="Arial Narrow" w:cs="Calibri"/>
          <w:i/>
          <w:iCs/>
          <w:color w:val="000000"/>
          <w:sz w:val="20"/>
          <w:szCs w:val="20"/>
        </w:rPr>
        <w:t>Cuando la Constitución y la ley así lo ordenen, deberán realizarse las consultas en ellas señaladas, caso en el cual a la memoria justificativa deberá anexarse la constancia que acredite que se ha cumplido dicho trámite</w:t>
      </w:r>
      <w:r w:rsidRPr="0094553C">
        <w:rPr>
          <w:rFonts w:ascii="Arial Narrow" w:hAnsi="Arial Narrow" w:cs="Calibri"/>
          <w:color w:val="000000"/>
          <w:sz w:val="20"/>
          <w:szCs w:val="20"/>
        </w:rPr>
        <w:t xml:space="preserve">”, </w:t>
      </w:r>
    </w:p>
    <w:p w14:paraId="25D473EA" w14:textId="77777777" w:rsidR="00900692" w:rsidRPr="0094553C" w:rsidRDefault="00900692" w:rsidP="00BB409E">
      <w:pPr>
        <w:ind w:right="49"/>
        <w:jc w:val="both"/>
        <w:rPr>
          <w:rFonts w:ascii="Arial Narrow" w:hAnsi="Arial Narrow" w:cs="Calibri"/>
          <w:color w:val="000000"/>
          <w:sz w:val="20"/>
          <w:szCs w:val="20"/>
        </w:rPr>
      </w:pPr>
    </w:p>
    <w:p w14:paraId="25D473EB" w14:textId="1282190F" w:rsidR="00900692" w:rsidRDefault="00361057" w:rsidP="00BB409E">
      <w:pPr>
        <w:ind w:right="49"/>
        <w:jc w:val="both"/>
        <w:rPr>
          <w:rFonts w:ascii="Arial Narrow" w:hAnsi="Arial Narrow" w:cs="Calibri"/>
          <w:color w:val="000000"/>
          <w:sz w:val="20"/>
          <w:szCs w:val="20"/>
        </w:rPr>
      </w:pPr>
      <w:r w:rsidRPr="0094553C">
        <w:rPr>
          <w:rFonts w:ascii="Arial Narrow" w:hAnsi="Arial Narrow" w:cs="Calibri"/>
          <w:color w:val="000000"/>
          <w:sz w:val="20"/>
          <w:szCs w:val="20"/>
        </w:rPr>
        <w:t xml:space="preserve">Por su parte el artículo 10 del mismo Decreto respecto de la Publicidad dispone </w:t>
      </w:r>
      <w:r w:rsidRPr="0094553C">
        <w:rPr>
          <w:rFonts w:ascii="Arial Narrow" w:hAnsi="Arial Narrow" w:cs="Calibri"/>
          <w:i/>
          <w:iCs/>
          <w:color w:val="000000"/>
          <w:sz w:val="20"/>
          <w:szCs w:val="20"/>
        </w:rPr>
        <w:t>“Cuando de conformidad con la ley, deba someterse a consideración del público la información sobre proyectos específicos de regulación antes de su expedición, a la memoria justificativa se anexará también la constancia del cumplimiento de esa obligación y se incluirá el resultado de la evaluación de las observaciones ciudadanas que se hubieren presentado</w:t>
      </w:r>
      <w:r w:rsidRPr="0094553C">
        <w:rPr>
          <w:rFonts w:ascii="Arial Narrow" w:hAnsi="Arial Narrow" w:cs="Calibri"/>
          <w:color w:val="000000"/>
          <w:sz w:val="20"/>
          <w:szCs w:val="20"/>
        </w:rPr>
        <w:t>.”</w:t>
      </w:r>
    </w:p>
    <w:p w14:paraId="24081BEF" w14:textId="66245E3D" w:rsidR="00B5503D" w:rsidRDefault="00B5503D" w:rsidP="00BB409E">
      <w:pPr>
        <w:ind w:right="49"/>
        <w:jc w:val="both"/>
        <w:rPr>
          <w:rFonts w:ascii="Arial Narrow" w:hAnsi="Arial Narrow"/>
          <w:sz w:val="20"/>
          <w:szCs w:val="20"/>
        </w:rPr>
      </w:pPr>
    </w:p>
    <w:p w14:paraId="6575315E" w14:textId="003568BB" w:rsidR="00B5503D" w:rsidRPr="0094553C" w:rsidRDefault="00B5503D" w:rsidP="0094553C">
      <w:pPr>
        <w:ind w:right="49"/>
        <w:jc w:val="both"/>
        <w:rPr>
          <w:rFonts w:ascii="Arial Narrow" w:hAnsi="Arial Narrow" w:cs="Calibri"/>
          <w:color w:val="000000"/>
          <w:sz w:val="20"/>
          <w:szCs w:val="20"/>
        </w:rPr>
      </w:pPr>
      <w:r w:rsidRPr="0094553C">
        <w:rPr>
          <w:rFonts w:ascii="Arial Narrow" w:hAnsi="Arial Narrow" w:cs="Calibri"/>
          <w:color w:val="000000"/>
          <w:sz w:val="20"/>
          <w:szCs w:val="20"/>
        </w:rPr>
        <w:t>Adicionalmente, el Decreto 1081 de 2015, modificado por el Art. </w:t>
      </w:r>
      <w:hyperlink r:id="rId7" w:anchor="2" w:history="1">
        <w:r w:rsidRPr="0094553C">
          <w:rPr>
            <w:rFonts w:ascii="Arial Narrow" w:hAnsi="Arial Narrow" w:cs="Calibri"/>
            <w:color w:val="000000"/>
            <w:sz w:val="20"/>
            <w:szCs w:val="20"/>
          </w:rPr>
          <w:t>2</w:t>
        </w:r>
      </w:hyperlink>
      <w:r w:rsidRPr="0094553C">
        <w:rPr>
          <w:rFonts w:ascii="Arial Narrow" w:hAnsi="Arial Narrow" w:cs="Calibri"/>
          <w:color w:val="000000"/>
          <w:sz w:val="20"/>
          <w:szCs w:val="20"/>
        </w:rPr>
        <w:t> del Decreto 1273 de 2020, establece lo siguiente:</w:t>
      </w:r>
    </w:p>
    <w:p w14:paraId="5BF3C1B5" w14:textId="77777777" w:rsidR="00B5503D" w:rsidRPr="0094553C" w:rsidRDefault="00B5503D" w:rsidP="0094553C">
      <w:pPr>
        <w:ind w:right="49"/>
        <w:jc w:val="both"/>
        <w:rPr>
          <w:rFonts w:ascii="Arial Narrow" w:hAnsi="Arial Narrow" w:cs="Calibri"/>
          <w:color w:val="000000"/>
          <w:sz w:val="20"/>
          <w:szCs w:val="20"/>
        </w:rPr>
      </w:pPr>
    </w:p>
    <w:p w14:paraId="315B1F70" w14:textId="77777777" w:rsidR="00B5503D" w:rsidRPr="0094553C" w:rsidRDefault="00B5503D" w:rsidP="0094553C">
      <w:pPr>
        <w:ind w:left="708" w:right="49"/>
        <w:jc w:val="both"/>
        <w:rPr>
          <w:rFonts w:ascii="Arial Narrow" w:hAnsi="Arial Narrow" w:cs="Calibri"/>
          <w:i/>
          <w:iCs/>
          <w:color w:val="000000"/>
          <w:sz w:val="20"/>
          <w:szCs w:val="20"/>
        </w:rPr>
      </w:pPr>
      <w:r w:rsidRPr="0094553C">
        <w:rPr>
          <w:rFonts w:ascii="Arial Narrow" w:hAnsi="Arial Narrow" w:cs="Calibri"/>
          <w:i/>
          <w:iCs/>
          <w:color w:val="000000"/>
          <w:sz w:val="20"/>
          <w:szCs w:val="20"/>
        </w:rPr>
        <w:lastRenderedPageBreak/>
        <w:t>Artículo 2.1.2.1.13.  Deber de consultar.  Cuando la Constitución y la ley así lo ordenen, deberán realizarse las consultas en ellas señaladas, caso en el cual a la memoria justificativa deberá anexarse la constancia que acredite que se ha cumplido dicho trámite.</w:t>
      </w:r>
    </w:p>
    <w:p w14:paraId="0FD1C7A2" w14:textId="77777777" w:rsidR="00B5503D" w:rsidRPr="0094553C" w:rsidRDefault="00B5503D" w:rsidP="0094553C">
      <w:pPr>
        <w:ind w:left="708" w:right="49"/>
        <w:jc w:val="both"/>
        <w:rPr>
          <w:rFonts w:ascii="Arial Narrow" w:hAnsi="Arial Narrow" w:cs="Calibri"/>
          <w:i/>
          <w:iCs/>
          <w:color w:val="000000"/>
          <w:sz w:val="20"/>
          <w:szCs w:val="20"/>
        </w:rPr>
      </w:pPr>
    </w:p>
    <w:p w14:paraId="7DE45150" w14:textId="77777777" w:rsidR="00B5503D" w:rsidRPr="0094553C" w:rsidRDefault="00B5503D" w:rsidP="0094553C">
      <w:pPr>
        <w:ind w:left="708" w:right="49"/>
        <w:jc w:val="both"/>
        <w:rPr>
          <w:rFonts w:ascii="Arial Narrow" w:hAnsi="Arial Narrow" w:cs="Calibri"/>
          <w:i/>
          <w:iCs/>
          <w:color w:val="000000"/>
          <w:sz w:val="20"/>
          <w:szCs w:val="20"/>
        </w:rPr>
      </w:pPr>
      <w:r w:rsidRPr="0094553C">
        <w:rPr>
          <w:rFonts w:ascii="Arial Narrow" w:hAnsi="Arial Narrow" w:cs="Calibri"/>
          <w:i/>
          <w:iCs/>
          <w:color w:val="000000"/>
          <w:sz w:val="20"/>
          <w:szCs w:val="20"/>
        </w:rPr>
        <w:t xml:space="preserve">Artículo 2.1.2.1.14. Publicidad de los proyectos específicos de regulación expedidos con firma del </w:t>
      </w:r>
      <w:proofErr w:type="gramStart"/>
      <w:r w:rsidRPr="0094553C">
        <w:rPr>
          <w:rFonts w:ascii="Arial Narrow" w:hAnsi="Arial Narrow" w:cs="Calibri"/>
          <w:i/>
          <w:iCs/>
          <w:color w:val="000000"/>
          <w:sz w:val="20"/>
          <w:szCs w:val="20"/>
        </w:rPr>
        <w:t>Presidente</w:t>
      </w:r>
      <w:proofErr w:type="gramEnd"/>
      <w:r w:rsidRPr="0094553C">
        <w:rPr>
          <w:rFonts w:ascii="Arial Narrow" w:hAnsi="Arial Narrow" w:cs="Calibri"/>
          <w:i/>
          <w:iCs/>
          <w:color w:val="000000"/>
          <w:sz w:val="20"/>
          <w:szCs w:val="20"/>
        </w:rPr>
        <w:t xml:space="preserve"> de la República. Con el fin de que los ciudadanos o grupos de interés participen en el proceso de producción normativa, a través de opiniones, sugerencias o propuestas alternativas, los proyectos específicos de regulación elaborados para la firma del Presidente de la República deberán publicarse en la sección de Transparencia y Acceso a la Información Pública del sitio web del Ministerio o departamento administrativo que los lidere, por lo menos durante quince (15) días calendario, antes de ser remitidos a la Secretaría Jurídica de la Presidencia de la República.  </w:t>
      </w:r>
    </w:p>
    <w:p w14:paraId="3B10647F" w14:textId="77777777" w:rsidR="00B5503D" w:rsidRPr="0094553C" w:rsidRDefault="00B5503D" w:rsidP="0094553C">
      <w:pPr>
        <w:ind w:left="708" w:right="49"/>
        <w:jc w:val="both"/>
        <w:rPr>
          <w:rFonts w:ascii="Arial Narrow" w:hAnsi="Arial Narrow" w:cs="Calibri"/>
          <w:i/>
          <w:iCs/>
          <w:color w:val="000000"/>
          <w:sz w:val="20"/>
          <w:szCs w:val="20"/>
        </w:rPr>
      </w:pPr>
      <w:r w:rsidRPr="0094553C">
        <w:rPr>
          <w:rFonts w:ascii="Arial Narrow" w:hAnsi="Arial Narrow" w:cs="Calibri"/>
          <w:i/>
          <w:iCs/>
          <w:color w:val="000000"/>
          <w:sz w:val="20"/>
          <w:szCs w:val="20"/>
        </w:rPr>
        <w:t>  </w:t>
      </w:r>
    </w:p>
    <w:p w14:paraId="7EEC2E7B" w14:textId="77777777" w:rsidR="00B5503D" w:rsidRPr="0094553C" w:rsidRDefault="00B5503D" w:rsidP="0094553C">
      <w:pPr>
        <w:ind w:left="708" w:right="49"/>
        <w:jc w:val="both"/>
        <w:rPr>
          <w:rFonts w:ascii="Arial Narrow" w:hAnsi="Arial Narrow" w:cs="Calibri"/>
          <w:i/>
          <w:iCs/>
          <w:color w:val="000000"/>
          <w:sz w:val="20"/>
          <w:szCs w:val="20"/>
        </w:rPr>
      </w:pPr>
      <w:r w:rsidRPr="0094553C">
        <w:rPr>
          <w:rFonts w:ascii="Arial Narrow" w:hAnsi="Arial Narrow" w:cs="Calibri"/>
          <w:i/>
          <w:iCs/>
          <w:color w:val="000000"/>
          <w:sz w:val="20"/>
          <w:szCs w:val="20"/>
        </w:rPr>
        <w:t>“Excepcionalmente, la publicación podrá hacerse por un plazo inferior, siempre que el Ministerio o el Departamento Administrativo lo justifique de manera adecuada. En cualquier caso, el plazo deberá ser razonable y ajustado a la necesidad de la regulación.  </w:t>
      </w:r>
    </w:p>
    <w:p w14:paraId="45C0166D" w14:textId="77777777" w:rsidR="00B5503D" w:rsidRPr="0094553C" w:rsidRDefault="00B5503D" w:rsidP="0094553C">
      <w:pPr>
        <w:ind w:left="708" w:right="49"/>
        <w:jc w:val="both"/>
        <w:rPr>
          <w:rFonts w:ascii="Arial Narrow" w:hAnsi="Arial Narrow" w:cs="Calibri"/>
          <w:i/>
          <w:iCs/>
          <w:color w:val="000000"/>
          <w:sz w:val="20"/>
          <w:szCs w:val="20"/>
        </w:rPr>
      </w:pPr>
    </w:p>
    <w:p w14:paraId="7529233E" w14:textId="77777777" w:rsidR="00B5503D" w:rsidRPr="0094553C" w:rsidRDefault="00B5503D" w:rsidP="0094553C">
      <w:pPr>
        <w:ind w:left="708" w:right="49"/>
        <w:jc w:val="both"/>
        <w:rPr>
          <w:rFonts w:ascii="Arial Narrow" w:hAnsi="Arial Narrow" w:cs="Calibri"/>
          <w:i/>
          <w:iCs/>
          <w:color w:val="000000"/>
          <w:sz w:val="20"/>
          <w:szCs w:val="20"/>
        </w:rPr>
      </w:pPr>
      <w:r w:rsidRPr="0094553C">
        <w:rPr>
          <w:rFonts w:ascii="Arial Narrow" w:hAnsi="Arial Narrow" w:cs="Calibri"/>
          <w:i/>
          <w:iCs/>
          <w:color w:val="000000"/>
          <w:sz w:val="20"/>
          <w:szCs w:val="20"/>
        </w:rPr>
        <w:t>“Parágrafo 1°. Para los efectos de este título, entiéndase como “proyecto específico de regulación” todo proyecto de acto administrativo de contenido general y abstracto que pretenda ser expedido por la autoridad competente.  </w:t>
      </w:r>
    </w:p>
    <w:p w14:paraId="463A04F3" w14:textId="77777777" w:rsidR="00B5503D" w:rsidRPr="0094553C" w:rsidRDefault="00B5503D" w:rsidP="0094553C">
      <w:pPr>
        <w:ind w:left="708" w:right="49"/>
        <w:jc w:val="both"/>
        <w:rPr>
          <w:rFonts w:ascii="Arial Narrow" w:hAnsi="Arial Narrow" w:cs="Calibri"/>
          <w:i/>
          <w:iCs/>
          <w:color w:val="000000"/>
          <w:sz w:val="20"/>
          <w:szCs w:val="20"/>
        </w:rPr>
      </w:pPr>
    </w:p>
    <w:p w14:paraId="3ADCA8D5" w14:textId="77777777" w:rsidR="00B5503D" w:rsidRPr="0094553C" w:rsidRDefault="00B5503D" w:rsidP="0094553C">
      <w:pPr>
        <w:ind w:left="708" w:right="49"/>
        <w:jc w:val="both"/>
        <w:rPr>
          <w:rFonts w:ascii="Arial Narrow" w:hAnsi="Arial Narrow" w:cs="Calibri"/>
          <w:i/>
          <w:iCs/>
          <w:color w:val="000000"/>
          <w:sz w:val="20"/>
          <w:szCs w:val="20"/>
        </w:rPr>
      </w:pPr>
      <w:r w:rsidRPr="0094553C">
        <w:rPr>
          <w:rFonts w:ascii="Arial Narrow" w:hAnsi="Arial Narrow" w:cs="Calibri"/>
          <w:i/>
          <w:iCs/>
          <w:color w:val="000000"/>
          <w:sz w:val="20"/>
          <w:szCs w:val="20"/>
        </w:rPr>
        <w:t>“Parágrafo 2°. La publicación de cada proyecto específico de regulación se hará junto con la de un Soporte Técnico.  </w:t>
      </w:r>
    </w:p>
    <w:p w14:paraId="3E45C2F4" w14:textId="77777777" w:rsidR="00B5503D" w:rsidRPr="0094553C" w:rsidRDefault="00B5503D" w:rsidP="0094553C">
      <w:pPr>
        <w:ind w:left="708" w:right="49"/>
        <w:jc w:val="both"/>
        <w:rPr>
          <w:rFonts w:ascii="Arial Narrow" w:hAnsi="Arial Narrow" w:cs="Calibri"/>
          <w:i/>
          <w:iCs/>
          <w:color w:val="000000"/>
          <w:sz w:val="20"/>
          <w:szCs w:val="20"/>
        </w:rPr>
      </w:pPr>
    </w:p>
    <w:p w14:paraId="1554E0BC" w14:textId="77777777" w:rsidR="00B5503D" w:rsidRPr="0094553C" w:rsidRDefault="00B5503D" w:rsidP="0094553C">
      <w:pPr>
        <w:ind w:left="708" w:right="49"/>
        <w:jc w:val="both"/>
        <w:rPr>
          <w:rFonts w:ascii="Arial Narrow" w:hAnsi="Arial Narrow" w:cs="Calibri"/>
          <w:i/>
          <w:iCs/>
          <w:color w:val="000000"/>
          <w:sz w:val="20"/>
          <w:szCs w:val="20"/>
        </w:rPr>
      </w:pPr>
      <w:r w:rsidRPr="0094553C">
        <w:rPr>
          <w:rFonts w:ascii="Arial Narrow" w:hAnsi="Arial Narrow" w:cs="Calibri"/>
          <w:i/>
          <w:iCs/>
          <w:color w:val="000000"/>
          <w:sz w:val="20"/>
          <w:szCs w:val="20"/>
        </w:rPr>
        <w:t>Dicho Soporte deberá contener, como mínimo, la siguiente información: los anteceden</w:t>
      </w:r>
      <w:r w:rsidRPr="0094553C">
        <w:rPr>
          <w:rFonts w:ascii="Arial Narrow" w:hAnsi="Arial Narrow" w:cs="Calibri"/>
          <w:i/>
          <w:iCs/>
          <w:color w:val="000000"/>
          <w:sz w:val="20"/>
          <w:szCs w:val="20"/>
        </w:rPr>
        <w:softHyphen/>
        <w:t>tes y las razones de oportunidad y conveniencia que justifican la expedición de la norma; su ámbito de aplicación y los sujetos a quienes va dirigida; un estudio preliminar sobre la viabilidad jurídica de la disposición; un estudio preliminar sobre su posible impacto económico y un estudio preliminar sobre el posible impacto medioambiental o sobre el patrimonio cultural de la Nación, si fuere el caso.  </w:t>
      </w:r>
    </w:p>
    <w:p w14:paraId="743E5AD2" w14:textId="77777777" w:rsidR="00B5503D" w:rsidRPr="0094553C" w:rsidRDefault="00B5503D" w:rsidP="0094553C">
      <w:pPr>
        <w:ind w:left="708" w:right="49"/>
        <w:jc w:val="both"/>
        <w:rPr>
          <w:rFonts w:ascii="Arial Narrow" w:hAnsi="Arial Narrow" w:cs="Calibri"/>
          <w:i/>
          <w:iCs/>
          <w:color w:val="000000"/>
          <w:sz w:val="20"/>
          <w:szCs w:val="20"/>
        </w:rPr>
      </w:pPr>
      <w:r w:rsidRPr="0094553C">
        <w:rPr>
          <w:rFonts w:ascii="Arial Narrow" w:hAnsi="Arial Narrow" w:cs="Calibri"/>
          <w:i/>
          <w:iCs/>
          <w:color w:val="000000"/>
          <w:sz w:val="20"/>
          <w:szCs w:val="20"/>
        </w:rPr>
        <w:t>  </w:t>
      </w:r>
    </w:p>
    <w:p w14:paraId="172F11EB" w14:textId="77777777" w:rsidR="00B5503D" w:rsidRPr="0094553C" w:rsidRDefault="00B5503D" w:rsidP="0094553C">
      <w:pPr>
        <w:ind w:left="708" w:right="49"/>
        <w:jc w:val="both"/>
        <w:rPr>
          <w:rFonts w:ascii="Arial Narrow" w:hAnsi="Arial Narrow" w:cs="Calibri"/>
          <w:color w:val="000000"/>
          <w:sz w:val="20"/>
          <w:szCs w:val="20"/>
        </w:rPr>
      </w:pPr>
      <w:r w:rsidRPr="0094553C">
        <w:rPr>
          <w:rFonts w:ascii="Arial Narrow" w:hAnsi="Arial Narrow" w:cs="Calibri"/>
          <w:i/>
          <w:iCs/>
          <w:color w:val="000000"/>
          <w:sz w:val="20"/>
          <w:szCs w:val="20"/>
        </w:rPr>
        <w:t>“Parágrafo 3°. Los proyectos específicos de regulación que establezcan o regulen un trámite deberán publicarse junto con la Manifestación de Impacto Regulatorio a que se refiere el artículo 39 del Decreto-ley número 019 de 2012”.  </w:t>
      </w:r>
    </w:p>
    <w:p w14:paraId="03CF1FF1" w14:textId="77777777" w:rsidR="00B5503D" w:rsidRPr="0094553C" w:rsidRDefault="00B5503D" w:rsidP="0094553C">
      <w:pPr>
        <w:ind w:right="49"/>
        <w:jc w:val="both"/>
        <w:rPr>
          <w:rFonts w:ascii="Arial Narrow" w:hAnsi="Arial Narrow" w:cs="Calibri"/>
          <w:color w:val="000000"/>
          <w:sz w:val="20"/>
          <w:szCs w:val="20"/>
        </w:rPr>
      </w:pPr>
    </w:p>
    <w:p w14:paraId="3C09238A" w14:textId="504D0222" w:rsidR="00B5503D" w:rsidRPr="0094553C" w:rsidRDefault="00B5503D" w:rsidP="0094553C">
      <w:pPr>
        <w:ind w:right="49"/>
        <w:jc w:val="both"/>
        <w:rPr>
          <w:rFonts w:ascii="Arial Narrow" w:hAnsi="Arial Narrow" w:cs="Calibri"/>
          <w:color w:val="000000"/>
          <w:sz w:val="20"/>
          <w:szCs w:val="20"/>
        </w:rPr>
      </w:pPr>
      <w:r w:rsidRPr="0094553C">
        <w:rPr>
          <w:rFonts w:ascii="Arial Narrow" w:hAnsi="Arial Narrow" w:cs="Calibri"/>
          <w:color w:val="000000"/>
          <w:sz w:val="20"/>
          <w:szCs w:val="20"/>
        </w:rPr>
        <w:t>Conforme con la normatividad previamente citada y de acuerdo con lo previsto en el Código de Minas (Ley 685 de 2001)</w:t>
      </w:r>
      <w:r w:rsidR="00251B0F" w:rsidRPr="000B793A">
        <w:rPr>
          <w:rFonts w:ascii="Arial Narrow" w:hAnsi="Arial Narrow" w:cs="Calibri"/>
          <w:color w:val="000000"/>
          <w:sz w:val="20"/>
          <w:szCs w:val="20"/>
        </w:rPr>
        <w:t xml:space="preserve">, el Decreto 1081 de 2015, </w:t>
      </w:r>
      <w:r w:rsidRPr="0094553C">
        <w:rPr>
          <w:rFonts w:ascii="Arial Narrow" w:hAnsi="Arial Narrow" w:cs="Calibri"/>
          <w:color w:val="000000"/>
          <w:sz w:val="20"/>
          <w:szCs w:val="20"/>
        </w:rPr>
        <w:t xml:space="preserve">y el Decreto 19 de 2012, no resulta legalmente viable efectuar la consulta de que trata el artículo 9°. </w:t>
      </w:r>
    </w:p>
    <w:p w14:paraId="45A52772" w14:textId="77777777" w:rsidR="00B5503D" w:rsidRPr="003A5A90" w:rsidRDefault="00B5503D" w:rsidP="00B5503D">
      <w:pPr>
        <w:ind w:right="-194"/>
        <w:jc w:val="both"/>
        <w:rPr>
          <w:rFonts w:ascii="Arial Narrow" w:eastAsia="Arial Unicode MS" w:hAnsi="Arial Narrow" w:cs="Arial"/>
          <w:lang w:val="es-ES" w:eastAsia="es-ES"/>
        </w:rPr>
      </w:pPr>
    </w:p>
    <w:p w14:paraId="6BE710BC" w14:textId="61969D33" w:rsidR="00B5503D" w:rsidRDefault="00B5503D" w:rsidP="0094553C">
      <w:pPr>
        <w:ind w:right="49"/>
        <w:jc w:val="both"/>
        <w:rPr>
          <w:rFonts w:ascii="Arial Narrow" w:hAnsi="Arial Narrow" w:cs="Calibri"/>
          <w:color w:val="000000"/>
          <w:sz w:val="20"/>
          <w:szCs w:val="20"/>
        </w:rPr>
      </w:pPr>
      <w:r w:rsidRPr="0094553C">
        <w:rPr>
          <w:rFonts w:ascii="Arial Narrow" w:hAnsi="Arial Narrow" w:cs="Calibri"/>
          <w:color w:val="000000"/>
          <w:sz w:val="20"/>
          <w:szCs w:val="20"/>
        </w:rPr>
        <w:t xml:space="preserve">Dando cumplimiento a la Ley 1437 de 2011, Código de Procedimiento Administrativo y de lo Contencioso Administrativo, Artículo 8, numeral 8, en concordancia con la Resolución 523 de 8 de septiembre de 2017 proferida por la Agencia Nacional de Minería, se dispuso en la página web de la Agencia Nacional de Minería para conocimiento de  la ciudadanía el Proyecto de Resolución </w:t>
      </w:r>
      <w:r w:rsidRPr="0094553C">
        <w:rPr>
          <w:rFonts w:ascii="Arial Narrow" w:hAnsi="Arial Narrow" w:cs="Calibri"/>
          <w:i/>
          <w:iCs/>
          <w:color w:val="000000"/>
          <w:sz w:val="20"/>
          <w:szCs w:val="20"/>
        </w:rPr>
        <w:t>“</w:t>
      </w:r>
      <w:r w:rsidR="00251B0F" w:rsidRPr="0094553C">
        <w:rPr>
          <w:rFonts w:ascii="Arial Narrow" w:hAnsi="Arial Narrow" w:cs="Calibri"/>
          <w:i/>
          <w:iCs/>
          <w:color w:val="000000"/>
          <w:sz w:val="20"/>
          <w:szCs w:val="20"/>
        </w:rPr>
        <w:t>Por la cual se modifica parcialmente la Resolución No. 1099 del 22 de diciembre de 2023, respecto al ámbito de aplicación del procedimiento de Audiencia Pública Minera para el otorgamiento de títulos mineros”,</w:t>
      </w:r>
      <w:r w:rsidR="00251B0F" w:rsidRPr="0094553C">
        <w:rPr>
          <w:rFonts w:ascii="Arial Narrow" w:hAnsi="Arial Narrow" w:cs="Calibri"/>
          <w:color w:val="000000"/>
          <w:sz w:val="20"/>
          <w:szCs w:val="20"/>
        </w:rPr>
        <w:t xml:space="preserve"> </w:t>
      </w:r>
      <w:r w:rsidRPr="0094553C">
        <w:rPr>
          <w:rFonts w:ascii="Arial Narrow" w:hAnsi="Arial Narrow" w:cs="Calibri"/>
          <w:color w:val="000000"/>
          <w:sz w:val="20"/>
          <w:szCs w:val="20"/>
        </w:rPr>
        <w:t xml:space="preserve">desde el día </w:t>
      </w:r>
      <w:r w:rsidR="0094553C">
        <w:rPr>
          <w:rFonts w:ascii="Arial Narrow" w:hAnsi="Arial Narrow" w:cs="Calibri"/>
          <w:color w:val="000000"/>
          <w:sz w:val="20"/>
          <w:szCs w:val="20"/>
        </w:rPr>
        <w:t>03</w:t>
      </w:r>
      <w:r w:rsidRPr="0094553C">
        <w:rPr>
          <w:rFonts w:ascii="Arial Narrow" w:hAnsi="Arial Narrow" w:cs="Calibri"/>
          <w:color w:val="000000"/>
          <w:sz w:val="20"/>
          <w:szCs w:val="20"/>
        </w:rPr>
        <w:t xml:space="preserve"> de </w:t>
      </w:r>
      <w:r w:rsidR="0094553C">
        <w:rPr>
          <w:rFonts w:ascii="Arial Narrow" w:hAnsi="Arial Narrow" w:cs="Calibri"/>
          <w:color w:val="000000"/>
          <w:sz w:val="20"/>
          <w:szCs w:val="20"/>
        </w:rPr>
        <w:t>julio</w:t>
      </w:r>
      <w:r w:rsidRPr="0094553C">
        <w:rPr>
          <w:rFonts w:ascii="Arial Narrow" w:hAnsi="Arial Narrow" w:cs="Calibri"/>
          <w:color w:val="000000"/>
          <w:sz w:val="20"/>
          <w:szCs w:val="20"/>
        </w:rPr>
        <w:t xml:space="preserve"> de 202</w:t>
      </w:r>
      <w:r w:rsidR="00251B0F" w:rsidRPr="0094553C">
        <w:rPr>
          <w:rFonts w:ascii="Arial Narrow" w:hAnsi="Arial Narrow" w:cs="Calibri"/>
          <w:color w:val="000000"/>
          <w:sz w:val="20"/>
          <w:szCs w:val="20"/>
        </w:rPr>
        <w:t>4</w:t>
      </w:r>
      <w:r w:rsidRPr="0094553C">
        <w:rPr>
          <w:rFonts w:ascii="Arial Narrow" w:hAnsi="Arial Narrow" w:cs="Calibri"/>
          <w:color w:val="000000"/>
          <w:sz w:val="20"/>
          <w:szCs w:val="20"/>
        </w:rPr>
        <w:t xml:space="preserve"> hasta el día </w:t>
      </w:r>
      <w:r w:rsidR="0094553C">
        <w:rPr>
          <w:rFonts w:ascii="Arial Narrow" w:hAnsi="Arial Narrow" w:cs="Calibri"/>
          <w:color w:val="000000"/>
          <w:sz w:val="20"/>
          <w:szCs w:val="20"/>
        </w:rPr>
        <w:t>30</w:t>
      </w:r>
      <w:r w:rsidRPr="0094553C">
        <w:rPr>
          <w:rFonts w:ascii="Arial Narrow" w:hAnsi="Arial Narrow" w:cs="Calibri"/>
          <w:color w:val="000000"/>
          <w:sz w:val="20"/>
          <w:szCs w:val="20"/>
        </w:rPr>
        <w:t xml:space="preserve"> de </w:t>
      </w:r>
      <w:r w:rsidR="0094553C">
        <w:rPr>
          <w:rFonts w:ascii="Arial Narrow" w:hAnsi="Arial Narrow" w:cs="Calibri"/>
          <w:color w:val="000000"/>
          <w:sz w:val="20"/>
          <w:szCs w:val="20"/>
        </w:rPr>
        <w:t>julio</w:t>
      </w:r>
      <w:r w:rsidRPr="0094553C">
        <w:rPr>
          <w:rFonts w:ascii="Arial Narrow" w:hAnsi="Arial Narrow" w:cs="Calibri"/>
          <w:color w:val="000000"/>
          <w:sz w:val="20"/>
          <w:szCs w:val="20"/>
        </w:rPr>
        <w:t xml:space="preserve"> de 202</w:t>
      </w:r>
      <w:r w:rsidR="00251B0F" w:rsidRPr="0094553C">
        <w:rPr>
          <w:rFonts w:ascii="Arial Narrow" w:hAnsi="Arial Narrow" w:cs="Calibri"/>
          <w:color w:val="000000"/>
          <w:sz w:val="20"/>
          <w:szCs w:val="20"/>
        </w:rPr>
        <w:t>4</w:t>
      </w:r>
      <w:r w:rsidRPr="0094553C">
        <w:rPr>
          <w:rFonts w:ascii="Arial Narrow" w:hAnsi="Arial Narrow" w:cs="Calibri"/>
          <w:color w:val="000000"/>
          <w:sz w:val="20"/>
          <w:szCs w:val="20"/>
        </w:rPr>
        <w:t xml:space="preserve">, frente al cual se presentaron </w:t>
      </w:r>
      <w:proofErr w:type="spellStart"/>
      <w:r w:rsidRPr="0094553C">
        <w:rPr>
          <w:rFonts w:ascii="Arial Narrow" w:hAnsi="Arial Narrow" w:cs="Calibri"/>
          <w:color w:val="000000"/>
          <w:sz w:val="20"/>
          <w:szCs w:val="20"/>
        </w:rPr>
        <w:t>xx</w:t>
      </w:r>
      <w:proofErr w:type="spellEnd"/>
      <w:r w:rsidRPr="0094553C">
        <w:rPr>
          <w:rFonts w:ascii="Arial Narrow" w:hAnsi="Arial Narrow" w:cs="Calibri"/>
          <w:color w:val="000000"/>
          <w:sz w:val="20"/>
          <w:szCs w:val="20"/>
        </w:rPr>
        <w:t xml:space="preserve"> comentarios, los cuales, con sus respuestas, se presentan en un cuadro anexo a la presente memoria justificativa. </w:t>
      </w:r>
    </w:p>
    <w:p w14:paraId="70C12EF0" w14:textId="77777777" w:rsidR="0094553C" w:rsidRDefault="0094553C" w:rsidP="0094553C">
      <w:pPr>
        <w:ind w:right="49"/>
        <w:jc w:val="both"/>
        <w:rPr>
          <w:rFonts w:ascii="Arial Narrow" w:hAnsi="Arial Narrow" w:cs="Calibri"/>
          <w:color w:val="000000"/>
          <w:sz w:val="20"/>
          <w:szCs w:val="20"/>
        </w:rPr>
      </w:pPr>
    </w:p>
    <w:p w14:paraId="37D9B698" w14:textId="77777777" w:rsidR="0094553C" w:rsidRDefault="0094553C" w:rsidP="0094553C">
      <w:pPr>
        <w:ind w:right="49"/>
        <w:jc w:val="both"/>
        <w:rPr>
          <w:rFonts w:ascii="Arial Narrow" w:hAnsi="Arial Narrow" w:cs="Calibri"/>
          <w:color w:val="000000"/>
          <w:sz w:val="20"/>
          <w:szCs w:val="20"/>
        </w:rPr>
      </w:pPr>
    </w:p>
    <w:p w14:paraId="208D901D" w14:textId="77777777" w:rsidR="0094553C" w:rsidRDefault="0094553C" w:rsidP="0094553C">
      <w:pPr>
        <w:ind w:right="49"/>
        <w:jc w:val="both"/>
        <w:rPr>
          <w:rFonts w:ascii="Arial Narrow" w:hAnsi="Arial Narrow" w:cs="Calibri"/>
          <w:color w:val="000000"/>
          <w:sz w:val="20"/>
          <w:szCs w:val="20"/>
        </w:rPr>
      </w:pPr>
    </w:p>
    <w:p w14:paraId="7E45652D" w14:textId="77777777" w:rsidR="0094553C" w:rsidRPr="0094553C" w:rsidRDefault="0094553C" w:rsidP="0094553C">
      <w:pPr>
        <w:ind w:right="49"/>
        <w:jc w:val="both"/>
        <w:rPr>
          <w:rFonts w:ascii="Arial Narrow" w:hAnsi="Arial Narrow" w:cs="Calibri"/>
          <w:color w:val="000000"/>
          <w:sz w:val="20"/>
          <w:szCs w:val="20"/>
        </w:rPr>
      </w:pPr>
    </w:p>
    <w:p w14:paraId="25D473F0" w14:textId="77777777" w:rsidR="00900692" w:rsidRPr="0094553C" w:rsidRDefault="00900692" w:rsidP="00BB409E">
      <w:pPr>
        <w:ind w:right="49"/>
        <w:jc w:val="both"/>
        <w:rPr>
          <w:rFonts w:ascii="Arial Narrow" w:hAnsi="Arial Narrow" w:cs="Calibri"/>
          <w:color w:val="000000"/>
          <w:sz w:val="20"/>
          <w:szCs w:val="20"/>
        </w:rPr>
      </w:pPr>
    </w:p>
    <w:p w14:paraId="25D473F1" w14:textId="77777777" w:rsidR="00900692" w:rsidRPr="0094553C" w:rsidRDefault="00361057" w:rsidP="00BB409E">
      <w:pPr>
        <w:pStyle w:val="Cuadrculamedia1-nfasis21"/>
        <w:numPr>
          <w:ilvl w:val="0"/>
          <w:numId w:val="2"/>
        </w:numPr>
        <w:spacing w:after="0" w:line="240" w:lineRule="auto"/>
        <w:ind w:left="426" w:right="49"/>
        <w:rPr>
          <w:rFonts w:ascii="Arial Narrow" w:hAnsi="Arial Narrow" w:cs="Calibri"/>
          <w:b/>
          <w:color w:val="000000"/>
          <w:sz w:val="20"/>
          <w:szCs w:val="20"/>
          <w:u w:val="single"/>
        </w:rPr>
      </w:pPr>
      <w:bookmarkStart w:id="3" w:name="bookmark5"/>
      <w:r w:rsidRPr="0094553C">
        <w:rPr>
          <w:rFonts w:ascii="Arial Narrow" w:hAnsi="Arial Narrow" w:cs="Calibri"/>
          <w:b/>
          <w:color w:val="000000"/>
          <w:sz w:val="20"/>
          <w:szCs w:val="20"/>
          <w:u w:val="single"/>
        </w:rPr>
        <w:lastRenderedPageBreak/>
        <w:t>Otros</w:t>
      </w:r>
      <w:bookmarkEnd w:id="3"/>
    </w:p>
    <w:p w14:paraId="25D473F2" w14:textId="77777777" w:rsidR="00900692" w:rsidRPr="0094553C" w:rsidRDefault="00900692" w:rsidP="00BB409E">
      <w:pPr>
        <w:ind w:right="49"/>
        <w:jc w:val="both"/>
        <w:rPr>
          <w:rFonts w:ascii="Arial Narrow" w:eastAsia="Arial Unicode MS" w:hAnsi="Arial Narrow" w:cs="Calibri"/>
          <w:color w:val="000000"/>
          <w:sz w:val="20"/>
          <w:szCs w:val="20"/>
          <w:lang w:eastAsia="es-ES"/>
        </w:rPr>
      </w:pPr>
    </w:p>
    <w:p w14:paraId="25D473F3" w14:textId="090C37E5" w:rsidR="00900692" w:rsidRPr="00D467D5" w:rsidRDefault="00361057" w:rsidP="00BB409E">
      <w:pPr>
        <w:jc w:val="both"/>
        <w:rPr>
          <w:rFonts w:ascii="Arial Narrow" w:hAnsi="Arial Narrow"/>
          <w:sz w:val="20"/>
          <w:szCs w:val="20"/>
        </w:rPr>
      </w:pPr>
      <w:r w:rsidRPr="0094553C">
        <w:rPr>
          <w:rFonts w:ascii="Arial Narrow" w:eastAsia="Arial Unicode MS" w:hAnsi="Arial Narrow" w:cs="Calibri"/>
          <w:color w:val="000000"/>
          <w:sz w:val="20"/>
          <w:szCs w:val="20"/>
          <w:lang w:eastAsia="es-ES"/>
        </w:rPr>
        <w:t>En conclusión, de acuerdo con la justificación previamente expuesta, se cuenta con la viabilidad jurídica para proferir el Acto Administrativo, “</w:t>
      </w:r>
      <w:r w:rsidR="00AB3C50" w:rsidRPr="00FB7651">
        <w:rPr>
          <w:rFonts w:ascii="Arial Narrow" w:hAnsi="Arial Narrow" w:cs="Calibri"/>
          <w:i/>
          <w:iCs/>
          <w:sz w:val="20"/>
          <w:szCs w:val="20"/>
          <w:lang w:eastAsia="es-ES_tradnl"/>
        </w:rPr>
        <w:t>Por la cual se modifica parcialmente la Resolución No. 1099 del 22 de diciembre de 2023, respecto al ámbito de aplicación del procedimiento de A</w:t>
      </w:r>
      <w:r w:rsidR="00AB3C50" w:rsidRPr="00D467D5">
        <w:rPr>
          <w:rFonts w:ascii="Arial Narrow" w:hAnsi="Arial Narrow" w:cs="Calibri"/>
          <w:i/>
          <w:iCs/>
          <w:sz w:val="20"/>
          <w:szCs w:val="20"/>
          <w:lang w:eastAsia="es-ES_tradnl"/>
        </w:rPr>
        <w:t>udiencia Pública Minera para el otorgamiento de títulos mineros</w:t>
      </w:r>
      <w:r w:rsidRPr="00D467D5">
        <w:rPr>
          <w:rFonts w:ascii="Arial Narrow" w:hAnsi="Arial Narrow" w:cs="Calibri"/>
          <w:i/>
          <w:sz w:val="20"/>
          <w:szCs w:val="20"/>
        </w:rPr>
        <w:t>”.</w:t>
      </w:r>
    </w:p>
    <w:p w14:paraId="25D473F4" w14:textId="77777777" w:rsidR="00900692" w:rsidRPr="00FB7651" w:rsidRDefault="00900692" w:rsidP="00BB409E">
      <w:pPr>
        <w:ind w:right="49"/>
        <w:jc w:val="both"/>
        <w:rPr>
          <w:rFonts w:ascii="Arial Narrow" w:eastAsia="Arial Unicode MS" w:hAnsi="Arial Narrow" w:cs="Calibri"/>
          <w:color w:val="000000"/>
          <w:sz w:val="20"/>
          <w:szCs w:val="20"/>
          <w:lang w:eastAsia="es-ES"/>
        </w:rPr>
      </w:pPr>
    </w:p>
    <w:p w14:paraId="25D473F5" w14:textId="77777777" w:rsidR="00900692" w:rsidRPr="00FB7651" w:rsidRDefault="00900692" w:rsidP="00BB409E">
      <w:pPr>
        <w:pStyle w:val="Heading141"/>
        <w:tabs>
          <w:tab w:val="left" w:pos="3805"/>
        </w:tabs>
        <w:suppressAutoHyphens/>
        <w:spacing w:before="0" w:after="0" w:line="240" w:lineRule="auto"/>
        <w:jc w:val="both"/>
        <w:rPr>
          <w:rFonts w:ascii="Arial Narrow" w:hAnsi="Arial Narrow" w:cs="Calibri"/>
          <w:sz w:val="20"/>
          <w:szCs w:val="20"/>
          <w:lang w:eastAsia="es-ES_tradnl"/>
        </w:rPr>
      </w:pPr>
    </w:p>
    <w:tbl>
      <w:tblPr>
        <w:tblW w:w="9589" w:type="dxa"/>
        <w:tblCellMar>
          <w:left w:w="10" w:type="dxa"/>
          <w:right w:w="10" w:type="dxa"/>
        </w:tblCellMar>
        <w:tblLook w:val="04A0" w:firstRow="1" w:lastRow="0" w:firstColumn="1" w:lastColumn="0" w:noHBand="0" w:noVBand="1"/>
      </w:tblPr>
      <w:tblGrid>
        <w:gridCol w:w="4659"/>
        <w:gridCol w:w="4930"/>
      </w:tblGrid>
      <w:tr w:rsidR="00900692" w:rsidRPr="00FB7651" w14:paraId="25D47404" w14:textId="77777777" w:rsidTr="004865F6">
        <w:trPr>
          <w:trHeight w:val="2092"/>
        </w:trPr>
        <w:tc>
          <w:tcPr>
            <w:tcW w:w="4659" w:type="dxa"/>
            <w:shd w:val="clear" w:color="auto" w:fill="auto"/>
            <w:tcMar>
              <w:top w:w="0" w:type="dxa"/>
              <w:left w:w="108" w:type="dxa"/>
              <w:bottom w:w="0" w:type="dxa"/>
              <w:right w:w="108" w:type="dxa"/>
            </w:tcMar>
          </w:tcPr>
          <w:p w14:paraId="25D473F6" w14:textId="77777777" w:rsidR="00900692" w:rsidRPr="00FB7651" w:rsidRDefault="00361057" w:rsidP="00BB409E">
            <w:pPr>
              <w:ind w:right="49"/>
              <w:jc w:val="both"/>
              <w:rPr>
                <w:rFonts w:ascii="Arial Narrow" w:hAnsi="Arial Narrow"/>
                <w:sz w:val="20"/>
                <w:szCs w:val="20"/>
              </w:rPr>
            </w:pPr>
            <w:r w:rsidRPr="00FB7651">
              <w:rPr>
                <w:rFonts w:ascii="Arial Narrow" w:hAnsi="Arial Narrow" w:cs="Arial"/>
                <w:b/>
                <w:sz w:val="20"/>
                <w:szCs w:val="20"/>
                <w:lang w:eastAsia="es-ES_tradnl"/>
              </w:rPr>
              <w:t>Aprueba</w:t>
            </w:r>
            <w:r w:rsidRPr="00FB7651">
              <w:rPr>
                <w:rFonts w:ascii="Arial Narrow" w:eastAsia="Arial Unicode MS" w:hAnsi="Arial Narrow" w:cs="Arial"/>
                <w:b/>
                <w:sz w:val="20"/>
                <w:szCs w:val="20"/>
                <w:lang w:eastAsia="es-ES"/>
              </w:rPr>
              <w:t xml:space="preserve"> </w:t>
            </w:r>
          </w:p>
          <w:p w14:paraId="25D473F7" w14:textId="77777777" w:rsidR="00900692" w:rsidRPr="00FB7651" w:rsidRDefault="00900692" w:rsidP="00BB409E">
            <w:pPr>
              <w:ind w:right="49"/>
              <w:jc w:val="both"/>
              <w:rPr>
                <w:rFonts w:ascii="Arial Narrow" w:eastAsia="Arial Unicode MS" w:hAnsi="Arial Narrow" w:cs="Arial"/>
                <w:b/>
                <w:sz w:val="20"/>
                <w:szCs w:val="20"/>
                <w:lang w:eastAsia="es-ES"/>
              </w:rPr>
            </w:pPr>
          </w:p>
          <w:p w14:paraId="25D473F8" w14:textId="77777777" w:rsidR="00900692" w:rsidRPr="00FB7651" w:rsidRDefault="00900692" w:rsidP="00BB409E">
            <w:pPr>
              <w:ind w:right="49"/>
              <w:jc w:val="both"/>
              <w:rPr>
                <w:rFonts w:ascii="Arial Narrow" w:eastAsia="Arial Unicode MS" w:hAnsi="Arial Narrow" w:cs="Arial"/>
                <w:b/>
                <w:sz w:val="20"/>
                <w:szCs w:val="20"/>
                <w:lang w:eastAsia="es-ES"/>
              </w:rPr>
            </w:pPr>
          </w:p>
          <w:p w14:paraId="25D473F9" w14:textId="77777777" w:rsidR="00900692" w:rsidRPr="00FB7651" w:rsidRDefault="00900692" w:rsidP="00BB409E">
            <w:pPr>
              <w:ind w:right="49"/>
              <w:jc w:val="both"/>
              <w:rPr>
                <w:rFonts w:ascii="Arial Narrow" w:eastAsia="Arial Unicode MS" w:hAnsi="Arial Narrow" w:cs="Arial"/>
                <w:b/>
                <w:sz w:val="20"/>
                <w:szCs w:val="20"/>
                <w:lang w:eastAsia="es-ES"/>
              </w:rPr>
            </w:pPr>
          </w:p>
          <w:p w14:paraId="25D473FA" w14:textId="77777777" w:rsidR="00900692" w:rsidRPr="00FB7651" w:rsidRDefault="00361057" w:rsidP="00BB409E">
            <w:pPr>
              <w:ind w:right="49"/>
              <w:jc w:val="both"/>
              <w:rPr>
                <w:rFonts w:ascii="Arial Narrow" w:eastAsia="Arial Unicode MS" w:hAnsi="Arial Narrow" w:cs="Arial"/>
                <w:b/>
                <w:sz w:val="20"/>
                <w:szCs w:val="20"/>
                <w:lang w:eastAsia="es-ES"/>
              </w:rPr>
            </w:pPr>
            <w:r w:rsidRPr="00FB7651">
              <w:rPr>
                <w:rFonts w:ascii="Arial Narrow" w:eastAsia="Arial Unicode MS" w:hAnsi="Arial Narrow" w:cs="Arial"/>
                <w:b/>
                <w:sz w:val="20"/>
                <w:szCs w:val="20"/>
                <w:lang w:eastAsia="es-ES"/>
              </w:rPr>
              <w:t xml:space="preserve">IVONNE DEL PILAR JIMÉNEZ GARCÍA </w:t>
            </w:r>
          </w:p>
          <w:p w14:paraId="25D473FB" w14:textId="7B1A657F" w:rsidR="00900692" w:rsidRPr="00FB7651" w:rsidRDefault="00361057" w:rsidP="00BB409E">
            <w:pPr>
              <w:ind w:right="49"/>
              <w:jc w:val="both"/>
              <w:rPr>
                <w:rFonts w:ascii="Arial Narrow" w:eastAsia="Arial Unicode MS" w:hAnsi="Arial Narrow" w:cs="Arial"/>
                <w:sz w:val="20"/>
                <w:szCs w:val="20"/>
                <w:lang w:eastAsia="es-ES"/>
              </w:rPr>
            </w:pPr>
            <w:r w:rsidRPr="00FB7651">
              <w:rPr>
                <w:rFonts w:ascii="Arial Narrow" w:eastAsia="Arial Unicode MS" w:hAnsi="Arial Narrow" w:cs="Arial"/>
                <w:sz w:val="20"/>
                <w:szCs w:val="20"/>
                <w:lang w:eastAsia="es-ES"/>
              </w:rPr>
              <w:t xml:space="preserve">Vicepresidente de Contratación y Titulación </w:t>
            </w:r>
          </w:p>
          <w:p w14:paraId="49E2E4E4" w14:textId="77777777" w:rsidR="00900692" w:rsidRPr="00FB7651" w:rsidRDefault="00361057" w:rsidP="00BB409E">
            <w:pPr>
              <w:pStyle w:val="Bodytext41"/>
              <w:tabs>
                <w:tab w:val="left" w:pos="3798"/>
              </w:tabs>
              <w:suppressAutoHyphens/>
              <w:spacing w:line="240" w:lineRule="auto"/>
              <w:ind w:right="49"/>
              <w:rPr>
                <w:rFonts w:ascii="Arial Narrow" w:eastAsia="Arial Unicode MS" w:hAnsi="Arial Narrow" w:cs="Arial"/>
                <w:sz w:val="20"/>
                <w:szCs w:val="20"/>
                <w:lang w:eastAsia="es-ES"/>
              </w:rPr>
            </w:pPr>
            <w:r w:rsidRPr="00FB7651">
              <w:rPr>
                <w:rFonts w:ascii="Arial Narrow" w:eastAsia="Arial Unicode MS" w:hAnsi="Arial Narrow" w:cs="Arial"/>
                <w:sz w:val="20"/>
                <w:szCs w:val="20"/>
                <w:lang w:eastAsia="es-ES"/>
              </w:rPr>
              <w:t xml:space="preserve"> </w:t>
            </w:r>
          </w:p>
          <w:p w14:paraId="1A6B05D8" w14:textId="77777777" w:rsidR="00AB3C50" w:rsidRPr="00FB7651" w:rsidRDefault="00AB3C50" w:rsidP="00BB409E">
            <w:pPr>
              <w:pStyle w:val="Bodytext41"/>
              <w:tabs>
                <w:tab w:val="left" w:pos="3798"/>
              </w:tabs>
              <w:suppressAutoHyphens/>
              <w:spacing w:line="240" w:lineRule="auto"/>
              <w:ind w:right="49"/>
              <w:rPr>
                <w:rFonts w:ascii="Arial Narrow" w:eastAsia="Arial Unicode MS" w:hAnsi="Arial Narrow" w:cs="Arial"/>
                <w:sz w:val="20"/>
                <w:szCs w:val="20"/>
                <w:lang w:eastAsia="es-ES"/>
              </w:rPr>
            </w:pPr>
          </w:p>
          <w:p w14:paraId="27862750" w14:textId="77777777" w:rsidR="00AB3C50" w:rsidRPr="00FB7651" w:rsidRDefault="00AB3C50" w:rsidP="00BB409E">
            <w:pPr>
              <w:pStyle w:val="Bodytext41"/>
              <w:tabs>
                <w:tab w:val="left" w:pos="3798"/>
              </w:tabs>
              <w:suppressAutoHyphens/>
              <w:spacing w:line="240" w:lineRule="auto"/>
              <w:ind w:right="49"/>
              <w:rPr>
                <w:rFonts w:ascii="Arial Narrow" w:eastAsia="Arial Unicode MS" w:hAnsi="Arial Narrow" w:cs="Arial"/>
                <w:sz w:val="20"/>
                <w:szCs w:val="20"/>
                <w:lang w:eastAsia="es-ES"/>
              </w:rPr>
            </w:pPr>
          </w:p>
          <w:p w14:paraId="25D473FC" w14:textId="77777777" w:rsidR="00AB3C50" w:rsidRPr="00FB7651" w:rsidRDefault="00AB3C50" w:rsidP="00BB409E">
            <w:pPr>
              <w:pStyle w:val="Bodytext41"/>
              <w:tabs>
                <w:tab w:val="left" w:pos="3798"/>
              </w:tabs>
              <w:suppressAutoHyphens/>
              <w:spacing w:line="240" w:lineRule="auto"/>
              <w:ind w:right="49"/>
              <w:rPr>
                <w:rFonts w:ascii="Arial Narrow" w:hAnsi="Arial Narrow"/>
                <w:sz w:val="20"/>
                <w:szCs w:val="20"/>
              </w:rPr>
            </w:pPr>
          </w:p>
        </w:tc>
        <w:tc>
          <w:tcPr>
            <w:tcW w:w="4930" w:type="dxa"/>
            <w:shd w:val="clear" w:color="auto" w:fill="auto"/>
            <w:tcMar>
              <w:top w:w="0" w:type="dxa"/>
              <w:left w:w="108" w:type="dxa"/>
              <w:bottom w:w="0" w:type="dxa"/>
              <w:right w:w="108" w:type="dxa"/>
            </w:tcMar>
          </w:tcPr>
          <w:p w14:paraId="25D473FD" w14:textId="77777777" w:rsidR="00900692" w:rsidRPr="00FB7651" w:rsidRDefault="00361057" w:rsidP="00BB409E">
            <w:pPr>
              <w:pStyle w:val="Heading141"/>
              <w:suppressAutoHyphens/>
              <w:spacing w:before="0" w:after="0" w:line="240" w:lineRule="auto"/>
              <w:ind w:right="49"/>
              <w:rPr>
                <w:rFonts w:ascii="Arial Narrow" w:hAnsi="Arial Narrow" w:cs="Arial"/>
                <w:sz w:val="20"/>
                <w:szCs w:val="20"/>
                <w:lang w:eastAsia="es-ES_tradnl"/>
              </w:rPr>
            </w:pPr>
            <w:r w:rsidRPr="00FB7651">
              <w:rPr>
                <w:rFonts w:ascii="Arial Narrow" w:hAnsi="Arial Narrow" w:cs="Arial"/>
                <w:sz w:val="20"/>
                <w:szCs w:val="20"/>
                <w:lang w:eastAsia="es-ES_tradnl"/>
              </w:rPr>
              <w:t xml:space="preserve">Vo Bo. </w:t>
            </w:r>
          </w:p>
          <w:p w14:paraId="25D473FE" w14:textId="77777777" w:rsidR="00900692" w:rsidRPr="00FB7651" w:rsidRDefault="00900692" w:rsidP="00BB409E">
            <w:pPr>
              <w:pStyle w:val="Heading141"/>
              <w:suppressAutoHyphens/>
              <w:spacing w:before="0" w:after="0" w:line="240" w:lineRule="auto"/>
              <w:ind w:right="49"/>
              <w:rPr>
                <w:rFonts w:ascii="Arial Narrow" w:hAnsi="Arial Narrow" w:cs="Arial"/>
                <w:sz w:val="20"/>
                <w:szCs w:val="20"/>
                <w:lang w:eastAsia="es-ES_tradnl"/>
              </w:rPr>
            </w:pPr>
          </w:p>
          <w:p w14:paraId="25D473FF" w14:textId="77777777" w:rsidR="00900692" w:rsidRPr="00FB7651" w:rsidRDefault="00900692" w:rsidP="00BB409E">
            <w:pPr>
              <w:pStyle w:val="Heading141"/>
              <w:suppressAutoHyphens/>
              <w:spacing w:before="0" w:after="0" w:line="240" w:lineRule="auto"/>
              <w:ind w:right="49"/>
              <w:rPr>
                <w:rFonts w:ascii="Arial Narrow" w:hAnsi="Arial Narrow" w:cs="Arial"/>
                <w:sz w:val="20"/>
                <w:szCs w:val="20"/>
                <w:lang w:eastAsia="es-ES_tradnl"/>
              </w:rPr>
            </w:pPr>
          </w:p>
          <w:p w14:paraId="25D47400" w14:textId="77777777" w:rsidR="00900692" w:rsidRPr="00FB7651" w:rsidRDefault="00900692" w:rsidP="00BB409E">
            <w:pPr>
              <w:pStyle w:val="Heading141"/>
              <w:suppressAutoHyphens/>
              <w:spacing w:before="0" w:after="0" w:line="240" w:lineRule="auto"/>
              <w:ind w:right="49"/>
              <w:rPr>
                <w:rFonts w:ascii="Arial Narrow" w:hAnsi="Arial Narrow" w:cs="Arial"/>
                <w:sz w:val="20"/>
                <w:szCs w:val="20"/>
                <w:lang w:eastAsia="es-ES_tradnl"/>
              </w:rPr>
            </w:pPr>
          </w:p>
          <w:p w14:paraId="25D47401" w14:textId="77777777" w:rsidR="00900692" w:rsidRPr="00FB7651" w:rsidRDefault="00361057" w:rsidP="00BB409E">
            <w:pPr>
              <w:pStyle w:val="Heading141"/>
              <w:suppressAutoHyphens/>
              <w:spacing w:before="0" w:after="0" w:line="240" w:lineRule="auto"/>
              <w:ind w:right="49"/>
              <w:rPr>
                <w:rFonts w:ascii="Arial Narrow" w:hAnsi="Arial Narrow" w:cs="Arial"/>
                <w:sz w:val="20"/>
                <w:szCs w:val="20"/>
                <w:lang w:eastAsia="es-ES_tradnl"/>
              </w:rPr>
            </w:pPr>
            <w:r w:rsidRPr="00FB7651">
              <w:rPr>
                <w:rFonts w:ascii="Arial Narrow" w:hAnsi="Arial Narrow" w:cs="Arial"/>
                <w:sz w:val="20"/>
                <w:szCs w:val="20"/>
                <w:lang w:eastAsia="es-ES_tradnl"/>
              </w:rPr>
              <w:t>IVÁN DARÍO GUAUQUE TORRES</w:t>
            </w:r>
          </w:p>
          <w:p w14:paraId="25D47402" w14:textId="77777777" w:rsidR="00900692" w:rsidRPr="00FB7651" w:rsidRDefault="00361057" w:rsidP="00BB409E">
            <w:pPr>
              <w:pStyle w:val="Heading141"/>
              <w:suppressAutoHyphens/>
              <w:spacing w:before="0" w:after="0" w:line="240" w:lineRule="auto"/>
              <w:ind w:right="49"/>
              <w:rPr>
                <w:rFonts w:ascii="Arial Narrow" w:hAnsi="Arial Narrow" w:cs="Arial"/>
                <w:b w:val="0"/>
                <w:sz w:val="20"/>
                <w:szCs w:val="20"/>
                <w:lang w:eastAsia="es-ES_tradnl"/>
              </w:rPr>
            </w:pPr>
            <w:r w:rsidRPr="00FB7651">
              <w:rPr>
                <w:rFonts w:ascii="Arial Narrow" w:hAnsi="Arial Narrow" w:cs="Arial"/>
                <w:b w:val="0"/>
                <w:sz w:val="20"/>
                <w:szCs w:val="20"/>
                <w:lang w:eastAsia="es-ES_tradnl"/>
              </w:rPr>
              <w:t xml:space="preserve">Jefe Oficina Asesora Jurídica </w:t>
            </w:r>
          </w:p>
          <w:p w14:paraId="25D47403" w14:textId="77777777" w:rsidR="00900692" w:rsidRPr="00FB7651" w:rsidRDefault="00900692" w:rsidP="00BB409E">
            <w:pPr>
              <w:ind w:right="49"/>
              <w:jc w:val="both"/>
              <w:rPr>
                <w:rFonts w:ascii="Arial Narrow" w:eastAsia="Arial Unicode MS" w:hAnsi="Arial Narrow" w:cs="Arial"/>
                <w:b/>
                <w:sz w:val="20"/>
                <w:szCs w:val="20"/>
                <w:lang w:eastAsia="es-ES"/>
              </w:rPr>
            </w:pPr>
          </w:p>
        </w:tc>
      </w:tr>
      <w:tr w:rsidR="00AB3C50" w:rsidRPr="00FB7651" w14:paraId="681AD263" w14:textId="77777777" w:rsidTr="004865F6">
        <w:trPr>
          <w:trHeight w:val="2092"/>
        </w:trPr>
        <w:tc>
          <w:tcPr>
            <w:tcW w:w="4659" w:type="dxa"/>
            <w:shd w:val="clear" w:color="auto" w:fill="auto"/>
            <w:tcMar>
              <w:top w:w="0" w:type="dxa"/>
              <w:left w:w="108" w:type="dxa"/>
              <w:bottom w:w="0" w:type="dxa"/>
              <w:right w:w="108" w:type="dxa"/>
            </w:tcMar>
          </w:tcPr>
          <w:p w14:paraId="262FFE4C" w14:textId="60B58EE0" w:rsidR="00AB3C50" w:rsidRPr="00FB7651" w:rsidRDefault="00AB3C50" w:rsidP="00AB3C50">
            <w:pPr>
              <w:ind w:right="49"/>
              <w:jc w:val="both"/>
              <w:rPr>
                <w:rFonts w:ascii="Arial Narrow" w:hAnsi="Arial Narrow" w:cs="Arial"/>
                <w:b/>
                <w:sz w:val="20"/>
                <w:szCs w:val="20"/>
                <w:lang w:eastAsia="es-ES_tradnl"/>
              </w:rPr>
            </w:pPr>
            <w:r w:rsidRPr="00FB7651">
              <w:rPr>
                <w:rFonts w:ascii="Arial Narrow" w:hAnsi="Arial Narrow" w:cs="Arial"/>
                <w:b/>
                <w:sz w:val="20"/>
                <w:szCs w:val="20"/>
                <w:lang w:eastAsia="es-ES_tradnl"/>
              </w:rPr>
              <w:t>MARIA PIEDAD BAYTER HORTA</w:t>
            </w:r>
          </w:p>
          <w:p w14:paraId="7335650E" w14:textId="026B1B83" w:rsidR="00AB3C50" w:rsidRPr="00FB7651" w:rsidRDefault="00AB3C50" w:rsidP="00AB3C50">
            <w:pPr>
              <w:ind w:right="49"/>
              <w:jc w:val="both"/>
              <w:rPr>
                <w:rFonts w:ascii="Arial Narrow" w:hAnsi="Arial Narrow" w:cs="Arial"/>
                <w:bCs/>
                <w:sz w:val="20"/>
                <w:szCs w:val="20"/>
                <w:lang w:eastAsia="es-ES_tradnl"/>
              </w:rPr>
            </w:pPr>
            <w:r w:rsidRPr="00FB7651">
              <w:rPr>
                <w:rFonts w:ascii="Arial Narrow" w:hAnsi="Arial Narrow" w:cs="Arial"/>
                <w:bCs/>
                <w:sz w:val="20"/>
                <w:szCs w:val="20"/>
                <w:lang w:eastAsia="es-ES_tradnl"/>
              </w:rPr>
              <w:t>Vicepresidente de Promoción y Fomento Minero</w:t>
            </w:r>
          </w:p>
        </w:tc>
        <w:tc>
          <w:tcPr>
            <w:tcW w:w="4930" w:type="dxa"/>
            <w:shd w:val="clear" w:color="auto" w:fill="auto"/>
            <w:tcMar>
              <w:top w:w="0" w:type="dxa"/>
              <w:left w:w="108" w:type="dxa"/>
              <w:bottom w:w="0" w:type="dxa"/>
              <w:right w:w="108" w:type="dxa"/>
            </w:tcMar>
          </w:tcPr>
          <w:p w14:paraId="6272C5CA" w14:textId="77777777" w:rsidR="00AB3C50" w:rsidRPr="00FB7651" w:rsidRDefault="00AB3C50" w:rsidP="00BB409E">
            <w:pPr>
              <w:pStyle w:val="Heading141"/>
              <w:suppressAutoHyphens/>
              <w:spacing w:before="0" w:after="0" w:line="240" w:lineRule="auto"/>
              <w:ind w:right="49"/>
              <w:rPr>
                <w:rFonts w:ascii="Arial Narrow" w:hAnsi="Arial Narrow" w:cs="Arial"/>
                <w:b w:val="0"/>
                <w:sz w:val="20"/>
                <w:szCs w:val="20"/>
                <w:lang w:eastAsia="es-ES_tradnl"/>
              </w:rPr>
            </w:pPr>
          </w:p>
        </w:tc>
      </w:tr>
    </w:tbl>
    <w:p w14:paraId="25D47405" w14:textId="77777777" w:rsidR="00900692" w:rsidRPr="00FB7651" w:rsidRDefault="00900692" w:rsidP="00BB409E">
      <w:pPr>
        <w:ind w:right="49"/>
        <w:rPr>
          <w:rFonts w:ascii="Arial Narrow" w:eastAsia="Times New Roman" w:hAnsi="Arial Narrow" w:cs="Arial"/>
          <w:color w:val="000000"/>
          <w:sz w:val="20"/>
          <w:szCs w:val="20"/>
          <w:lang w:eastAsia="es-CO"/>
        </w:rPr>
      </w:pPr>
    </w:p>
    <w:p w14:paraId="25D47406" w14:textId="77777777" w:rsidR="00900692" w:rsidRPr="00FB7651" w:rsidRDefault="00900692" w:rsidP="00BB409E">
      <w:pPr>
        <w:ind w:right="49"/>
        <w:rPr>
          <w:rFonts w:ascii="Arial Narrow" w:eastAsia="Times New Roman" w:hAnsi="Arial Narrow" w:cs="Arial"/>
          <w:color w:val="000000"/>
          <w:sz w:val="20"/>
          <w:szCs w:val="20"/>
          <w:lang w:eastAsia="es-CO"/>
        </w:rPr>
      </w:pPr>
    </w:p>
    <w:p w14:paraId="7E1ED6CF" w14:textId="7E057E5E" w:rsidR="004865F6" w:rsidRPr="00FB7651" w:rsidRDefault="004865F6" w:rsidP="00BB409E">
      <w:pPr>
        <w:rPr>
          <w:rFonts w:ascii="Arial Narrow" w:hAnsi="Arial Narrow" w:cs="Arial"/>
          <w:sz w:val="18"/>
          <w:szCs w:val="18"/>
        </w:rPr>
      </w:pPr>
      <w:r w:rsidRPr="00FB7651">
        <w:rPr>
          <w:rFonts w:ascii="Arial Narrow" w:hAnsi="Arial Narrow" w:cs="Arial"/>
          <w:sz w:val="18"/>
          <w:szCs w:val="18"/>
        </w:rPr>
        <w:t xml:space="preserve">Proyectó: </w:t>
      </w:r>
      <w:r w:rsidRPr="00FB7651">
        <w:rPr>
          <w:rFonts w:ascii="Arial Narrow" w:hAnsi="Arial Narrow" w:cs="Arial"/>
          <w:sz w:val="18"/>
          <w:szCs w:val="18"/>
        </w:rPr>
        <w:tab/>
        <w:t>Nayive Carrasco</w:t>
      </w:r>
      <w:r w:rsidR="00E4297A" w:rsidRPr="00FB7651">
        <w:rPr>
          <w:rFonts w:ascii="Arial Narrow" w:hAnsi="Arial Narrow" w:cs="Arial"/>
          <w:sz w:val="18"/>
          <w:szCs w:val="18"/>
        </w:rPr>
        <w:t xml:space="preserve"> </w:t>
      </w:r>
      <w:r w:rsidRPr="00FB7651">
        <w:rPr>
          <w:rFonts w:ascii="Arial Narrow" w:hAnsi="Arial Narrow" w:cs="Arial"/>
          <w:sz w:val="18"/>
          <w:szCs w:val="18"/>
        </w:rPr>
        <w:t>–</w:t>
      </w:r>
      <w:r w:rsidR="00E4297A" w:rsidRPr="00FB7651">
        <w:rPr>
          <w:rFonts w:ascii="Arial Narrow" w:hAnsi="Arial Narrow" w:cs="Arial"/>
          <w:sz w:val="18"/>
          <w:szCs w:val="18"/>
        </w:rPr>
        <w:t xml:space="preserve"> </w:t>
      </w:r>
      <w:r w:rsidRPr="00FB7651">
        <w:rPr>
          <w:rFonts w:ascii="Arial Narrow" w:hAnsi="Arial Narrow" w:cs="Arial"/>
          <w:sz w:val="18"/>
          <w:szCs w:val="18"/>
        </w:rPr>
        <w:t>Contratista VCT.</w:t>
      </w:r>
    </w:p>
    <w:p w14:paraId="25D4740A" w14:textId="748DCBE2" w:rsidR="00900692" w:rsidRPr="00FB7651" w:rsidRDefault="004865F6" w:rsidP="00BB409E">
      <w:pPr>
        <w:rPr>
          <w:rFonts w:ascii="Arial Narrow" w:hAnsi="Arial Narrow"/>
          <w:b/>
          <w:bCs/>
          <w:sz w:val="18"/>
          <w:szCs w:val="18"/>
        </w:rPr>
      </w:pPr>
      <w:r w:rsidRPr="00FB7651">
        <w:rPr>
          <w:rFonts w:ascii="Arial Narrow" w:hAnsi="Arial Narrow" w:cs="Arial"/>
          <w:sz w:val="18"/>
          <w:szCs w:val="18"/>
        </w:rPr>
        <w:t xml:space="preserve">Revisó: </w:t>
      </w:r>
      <w:r w:rsidRPr="00FB7651">
        <w:rPr>
          <w:rFonts w:ascii="Arial Narrow" w:hAnsi="Arial Narrow" w:cs="Arial"/>
          <w:sz w:val="18"/>
          <w:szCs w:val="18"/>
        </w:rPr>
        <w:tab/>
        <w:t>Julieth Marianne Laguado – Gerente de Contratación Minera.</w:t>
      </w:r>
    </w:p>
    <w:p w14:paraId="25D4740B" w14:textId="77777777" w:rsidR="00900692" w:rsidRPr="00FB7651" w:rsidRDefault="00900692" w:rsidP="00BB409E">
      <w:pPr>
        <w:jc w:val="both"/>
        <w:rPr>
          <w:rFonts w:ascii="Arial Narrow" w:hAnsi="Arial Narrow"/>
          <w:sz w:val="18"/>
          <w:szCs w:val="18"/>
        </w:rPr>
      </w:pPr>
    </w:p>
    <w:p w14:paraId="194B7E28" w14:textId="77777777" w:rsidR="004865F6" w:rsidRPr="00FB7651" w:rsidRDefault="004865F6" w:rsidP="00BB409E">
      <w:pPr>
        <w:jc w:val="both"/>
        <w:rPr>
          <w:rFonts w:ascii="Arial Narrow" w:hAnsi="Arial Narrow"/>
          <w:sz w:val="20"/>
          <w:szCs w:val="20"/>
        </w:rPr>
      </w:pPr>
    </w:p>
    <w:sectPr w:rsidR="004865F6" w:rsidRPr="00FB7651" w:rsidSect="004865F6">
      <w:headerReference w:type="default" r:id="rId8"/>
      <w:pgSz w:w="12240" w:h="15840"/>
      <w:pgMar w:top="2977" w:right="1701" w:bottom="1418" w:left="1701"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B6D19B" w14:textId="77777777" w:rsidR="00650E23" w:rsidRDefault="00650E23">
      <w:r>
        <w:separator/>
      </w:r>
    </w:p>
  </w:endnote>
  <w:endnote w:type="continuationSeparator" w:id="0">
    <w:p w14:paraId="07F31060" w14:textId="77777777" w:rsidR="00650E23" w:rsidRDefault="00650E23">
      <w:r>
        <w:continuationSeparator/>
      </w:r>
    </w:p>
  </w:endnote>
  <w:endnote w:type="continuationNotice" w:id="1">
    <w:p w14:paraId="176198F3" w14:textId="77777777" w:rsidR="00650E23" w:rsidRDefault="00650E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87C2E6" w14:textId="77777777" w:rsidR="00650E23" w:rsidRDefault="00650E23">
      <w:r>
        <w:rPr>
          <w:color w:val="000000"/>
        </w:rPr>
        <w:separator/>
      </w:r>
    </w:p>
  </w:footnote>
  <w:footnote w:type="continuationSeparator" w:id="0">
    <w:p w14:paraId="37162D90" w14:textId="77777777" w:rsidR="00650E23" w:rsidRDefault="00650E23">
      <w:r>
        <w:continuationSeparator/>
      </w:r>
    </w:p>
  </w:footnote>
  <w:footnote w:type="continuationNotice" w:id="1">
    <w:p w14:paraId="41AE2154" w14:textId="77777777" w:rsidR="00650E23" w:rsidRDefault="00650E2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EF0284" w14:textId="4DC3AB23" w:rsidR="004865F6" w:rsidRDefault="004865F6">
    <w:r>
      <w:rPr>
        <w:noProof/>
        <w:lang w:eastAsia="es-CO"/>
      </w:rPr>
      <w:drawing>
        <wp:anchor distT="0" distB="0" distL="114300" distR="114300" simplePos="0" relativeHeight="251659264" behindDoc="1" locked="0" layoutInCell="1" allowOverlap="1" wp14:anchorId="25D472E4" wp14:editId="49EE69C2">
          <wp:simplePos x="0" y="0"/>
          <wp:positionH relativeFrom="page">
            <wp:align>left</wp:align>
          </wp:positionH>
          <wp:positionV relativeFrom="paragraph">
            <wp:posOffset>-450215</wp:posOffset>
          </wp:positionV>
          <wp:extent cx="7823204" cy="10123166"/>
          <wp:effectExtent l="0" t="0" r="6350" b="0"/>
          <wp:wrapNone/>
          <wp:docPr id="884574768" name="Imagen 884574768"/>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7823204" cy="10123166"/>
                  </a:xfrm>
                  <a:prstGeom prst="rect">
                    <a:avLst/>
                  </a:prstGeom>
                  <a:noFill/>
                  <a:ln>
                    <a:noFill/>
                    <a:prstDash/>
                  </a:ln>
                </pic:spPr>
              </pic:pic>
            </a:graphicData>
          </a:graphic>
        </wp:anchor>
      </w:drawing>
    </w:r>
  </w:p>
  <w:p w14:paraId="6107DEA3" w14:textId="77777777" w:rsidR="004865F6" w:rsidRDefault="004865F6"/>
  <w:p w14:paraId="1FFD8659" w14:textId="77777777" w:rsidR="004865F6" w:rsidRDefault="004865F6"/>
  <w:p w14:paraId="15BC88D2" w14:textId="77777777" w:rsidR="004865F6" w:rsidRDefault="004865F6"/>
  <w:tbl>
    <w:tblPr>
      <w:tblStyle w:val="Tablaconcuadrcula"/>
      <w:tblW w:w="0" w:type="auto"/>
      <w:tblInd w:w="-5" w:type="dxa"/>
      <w:tblLook w:val="04A0" w:firstRow="1" w:lastRow="0" w:firstColumn="1" w:lastColumn="0" w:noHBand="0" w:noVBand="1"/>
    </w:tblPr>
    <w:tblGrid>
      <w:gridCol w:w="3126"/>
      <w:gridCol w:w="2828"/>
      <w:gridCol w:w="2817"/>
    </w:tblGrid>
    <w:tr w:rsidR="004865F6" w:rsidRPr="004865F6" w14:paraId="73CAC27D" w14:textId="77777777" w:rsidTr="004865F6">
      <w:tc>
        <w:tcPr>
          <w:tcW w:w="3126" w:type="dxa"/>
          <w:vMerge w:val="restart"/>
        </w:tcPr>
        <w:p w14:paraId="279144A9" w14:textId="7E8EF7C1" w:rsidR="004865F6" w:rsidRPr="004865F6" w:rsidRDefault="004865F6" w:rsidP="004865F6">
          <w:pPr>
            <w:jc w:val="center"/>
            <w:rPr>
              <w:rFonts w:ascii="Arial Narrow" w:hAnsi="Arial Narrow" w:cstheme="minorHAnsi"/>
              <w:sz w:val="20"/>
              <w:szCs w:val="20"/>
            </w:rPr>
          </w:pPr>
          <w:r w:rsidRPr="004865F6">
            <w:rPr>
              <w:rFonts w:ascii="Arial Narrow" w:hAnsi="Arial Narrow"/>
              <w:noProof/>
              <w:sz w:val="20"/>
              <w:szCs w:val="20"/>
              <w:lang w:eastAsia="es-CO"/>
            </w:rPr>
            <w:drawing>
              <wp:inline distT="0" distB="0" distL="0" distR="0" wp14:anchorId="6EF5EBDB" wp14:editId="6B663315">
                <wp:extent cx="1847851" cy="533401"/>
                <wp:effectExtent l="0" t="0" r="0" b="0"/>
                <wp:docPr id="1584858743" name="Imagen 1584858743" descr="Texto&#10;&#10;Descripción generada automáticamente"/>
                <wp:cNvGraphicFramePr/>
                <a:graphic xmlns:a="http://schemas.openxmlformats.org/drawingml/2006/main">
                  <a:graphicData uri="http://schemas.openxmlformats.org/drawingml/2006/picture">
                    <pic:pic xmlns:pic="http://schemas.openxmlformats.org/drawingml/2006/picture">
                      <pic:nvPicPr>
                        <pic:cNvPr id="2" name="3 Imagen" descr="Texto&#10;&#10;Descripción generada automáticamente"/>
                        <pic:cNvPicPr/>
                      </pic:nvPicPr>
                      <pic:blipFill>
                        <a:blip r:embed="rId2"/>
                        <a:srcRect b="15032"/>
                        <a:stretch>
                          <a:fillRect/>
                        </a:stretch>
                      </pic:blipFill>
                      <pic:spPr>
                        <a:xfrm>
                          <a:off x="0" y="0"/>
                          <a:ext cx="1847851" cy="533401"/>
                        </a:xfrm>
                        <a:prstGeom prst="rect">
                          <a:avLst/>
                        </a:prstGeom>
                        <a:noFill/>
                        <a:ln>
                          <a:noFill/>
                          <a:prstDash/>
                        </a:ln>
                      </pic:spPr>
                    </pic:pic>
                  </a:graphicData>
                </a:graphic>
              </wp:inline>
            </w:drawing>
          </w:r>
        </w:p>
      </w:tc>
      <w:tc>
        <w:tcPr>
          <w:tcW w:w="2828" w:type="dxa"/>
        </w:tcPr>
        <w:p w14:paraId="0B03D121"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GESTIÓN JURÍDICA</w:t>
          </w:r>
        </w:p>
      </w:tc>
      <w:tc>
        <w:tcPr>
          <w:tcW w:w="2817" w:type="dxa"/>
        </w:tcPr>
        <w:p w14:paraId="2C7A8846"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CÓDIGO APO6-P-001-F-004</w:t>
          </w:r>
        </w:p>
      </w:tc>
    </w:tr>
    <w:tr w:rsidR="004865F6" w:rsidRPr="004865F6" w14:paraId="4A39CFCA" w14:textId="77777777" w:rsidTr="004865F6">
      <w:trPr>
        <w:trHeight w:val="60"/>
      </w:trPr>
      <w:tc>
        <w:tcPr>
          <w:tcW w:w="3126" w:type="dxa"/>
          <w:vMerge/>
        </w:tcPr>
        <w:p w14:paraId="4494262D" w14:textId="77777777" w:rsidR="004865F6" w:rsidRPr="004865F6" w:rsidRDefault="004865F6" w:rsidP="004865F6">
          <w:pPr>
            <w:rPr>
              <w:rFonts w:ascii="Arial Narrow" w:hAnsi="Arial Narrow" w:cstheme="minorHAnsi"/>
              <w:sz w:val="20"/>
              <w:szCs w:val="20"/>
            </w:rPr>
          </w:pPr>
        </w:p>
      </w:tc>
      <w:tc>
        <w:tcPr>
          <w:tcW w:w="2828" w:type="dxa"/>
        </w:tcPr>
        <w:p w14:paraId="0289746D"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FORMATO</w:t>
          </w:r>
        </w:p>
      </w:tc>
      <w:tc>
        <w:tcPr>
          <w:tcW w:w="2817" w:type="dxa"/>
        </w:tcPr>
        <w:p w14:paraId="6E443889"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VERSIÓN 1</w:t>
          </w:r>
        </w:p>
      </w:tc>
    </w:tr>
    <w:tr w:rsidR="004865F6" w:rsidRPr="004865F6" w14:paraId="32F1527A" w14:textId="77777777" w:rsidTr="004865F6">
      <w:trPr>
        <w:trHeight w:val="230"/>
      </w:trPr>
      <w:tc>
        <w:tcPr>
          <w:tcW w:w="3126" w:type="dxa"/>
          <w:vMerge/>
        </w:tcPr>
        <w:p w14:paraId="26E55811" w14:textId="77777777" w:rsidR="004865F6" w:rsidRPr="004865F6" w:rsidRDefault="004865F6" w:rsidP="004865F6">
          <w:pPr>
            <w:rPr>
              <w:rFonts w:ascii="Arial Narrow" w:hAnsi="Arial Narrow" w:cstheme="minorHAnsi"/>
              <w:sz w:val="20"/>
              <w:szCs w:val="20"/>
            </w:rPr>
          </w:pPr>
        </w:p>
      </w:tc>
      <w:tc>
        <w:tcPr>
          <w:tcW w:w="2828" w:type="dxa"/>
        </w:tcPr>
        <w:p w14:paraId="47705C4B"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MEMORIA</w:t>
          </w:r>
        </w:p>
        <w:p w14:paraId="3C91741A"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JUSTIFICATIVA</w:t>
          </w:r>
        </w:p>
      </w:tc>
      <w:tc>
        <w:tcPr>
          <w:tcW w:w="2817" w:type="dxa"/>
        </w:tcPr>
        <w:p w14:paraId="331FCE88"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FECHA DE VIGENCIA</w:t>
          </w:r>
        </w:p>
        <w:p w14:paraId="6642FD03" w14:textId="77777777" w:rsidR="004865F6" w:rsidRPr="004865F6" w:rsidRDefault="004865F6" w:rsidP="004865F6">
          <w:pPr>
            <w:jc w:val="center"/>
            <w:rPr>
              <w:rFonts w:asciiTheme="minorHAnsi" w:hAnsiTheme="minorHAnsi" w:cstheme="minorHAnsi"/>
              <w:b/>
              <w:bCs/>
            </w:rPr>
          </w:pPr>
          <w:r w:rsidRPr="004865F6">
            <w:rPr>
              <w:rFonts w:asciiTheme="minorHAnsi" w:hAnsiTheme="minorHAnsi" w:cstheme="minorHAnsi"/>
              <w:b/>
              <w:bCs/>
            </w:rPr>
            <w:t>JULIO DE 2022</w:t>
          </w:r>
        </w:p>
      </w:tc>
    </w:tr>
  </w:tbl>
  <w:p w14:paraId="25D472EC" w14:textId="523B9A42" w:rsidR="005D63EA" w:rsidRDefault="005D63EA">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1EA2D2A"/>
    <w:multiLevelType w:val="hybridMultilevel"/>
    <w:tmpl w:val="C83C47B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35A5496B"/>
    <w:multiLevelType w:val="multilevel"/>
    <w:tmpl w:val="8E560776"/>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B2739E6"/>
    <w:multiLevelType w:val="multilevel"/>
    <w:tmpl w:val="E38E6802"/>
    <w:lvl w:ilvl="0">
      <w:start w:val="1"/>
      <w:numFmt w:val="decimal"/>
      <w:lvlText w:val="%1."/>
      <w:lvlJc w:val="left"/>
      <w:pPr>
        <w:ind w:left="2136" w:hanging="360"/>
      </w:pPr>
      <w:rPr>
        <w:b/>
        <w:i w:val="0"/>
      </w:rPr>
    </w:lvl>
    <w:lvl w:ilvl="1">
      <w:start w:val="1"/>
      <w:numFmt w:val="lowerLetter"/>
      <w:lvlText w:val="%2."/>
      <w:lvlJc w:val="left"/>
      <w:pPr>
        <w:ind w:left="2856" w:hanging="36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3" w15:restartNumberingAfterBreak="0">
    <w:nsid w:val="5E4C41EC"/>
    <w:multiLevelType w:val="multilevel"/>
    <w:tmpl w:val="8A4049A6"/>
    <w:lvl w:ilvl="0">
      <w:numFmt w:val="bullet"/>
      <w:lvlText w:val="-"/>
      <w:lvlJc w:val="left"/>
      <w:pPr>
        <w:ind w:left="426" w:hanging="360"/>
      </w:pPr>
      <w:rPr>
        <w:rFonts w:ascii="Arial Narrow" w:eastAsia="Calibri" w:hAnsi="Arial Narrow" w:cs="Arial"/>
      </w:rPr>
    </w:lvl>
    <w:lvl w:ilvl="1">
      <w:numFmt w:val="bullet"/>
      <w:lvlText w:val="o"/>
      <w:lvlJc w:val="left"/>
      <w:pPr>
        <w:ind w:left="1146" w:hanging="360"/>
      </w:pPr>
      <w:rPr>
        <w:rFonts w:ascii="Courier New" w:hAnsi="Courier New" w:cs="Courier New"/>
      </w:rPr>
    </w:lvl>
    <w:lvl w:ilvl="2">
      <w:numFmt w:val="bullet"/>
      <w:lvlText w:val=""/>
      <w:lvlJc w:val="left"/>
      <w:pPr>
        <w:ind w:left="1866" w:hanging="360"/>
      </w:pPr>
      <w:rPr>
        <w:rFonts w:ascii="Wingdings" w:hAnsi="Wingdings"/>
      </w:rPr>
    </w:lvl>
    <w:lvl w:ilvl="3">
      <w:numFmt w:val="bullet"/>
      <w:lvlText w:val=""/>
      <w:lvlJc w:val="left"/>
      <w:pPr>
        <w:ind w:left="2586" w:hanging="360"/>
      </w:pPr>
      <w:rPr>
        <w:rFonts w:ascii="Symbol" w:hAnsi="Symbol"/>
      </w:rPr>
    </w:lvl>
    <w:lvl w:ilvl="4">
      <w:numFmt w:val="bullet"/>
      <w:lvlText w:val="o"/>
      <w:lvlJc w:val="left"/>
      <w:pPr>
        <w:ind w:left="3306" w:hanging="360"/>
      </w:pPr>
      <w:rPr>
        <w:rFonts w:ascii="Courier New" w:hAnsi="Courier New" w:cs="Courier New"/>
      </w:rPr>
    </w:lvl>
    <w:lvl w:ilvl="5">
      <w:numFmt w:val="bullet"/>
      <w:lvlText w:val=""/>
      <w:lvlJc w:val="left"/>
      <w:pPr>
        <w:ind w:left="4026" w:hanging="360"/>
      </w:pPr>
      <w:rPr>
        <w:rFonts w:ascii="Wingdings" w:hAnsi="Wingdings"/>
      </w:rPr>
    </w:lvl>
    <w:lvl w:ilvl="6">
      <w:numFmt w:val="bullet"/>
      <w:lvlText w:val=""/>
      <w:lvlJc w:val="left"/>
      <w:pPr>
        <w:ind w:left="4746" w:hanging="360"/>
      </w:pPr>
      <w:rPr>
        <w:rFonts w:ascii="Symbol" w:hAnsi="Symbol"/>
      </w:rPr>
    </w:lvl>
    <w:lvl w:ilvl="7">
      <w:numFmt w:val="bullet"/>
      <w:lvlText w:val="o"/>
      <w:lvlJc w:val="left"/>
      <w:pPr>
        <w:ind w:left="5466" w:hanging="360"/>
      </w:pPr>
      <w:rPr>
        <w:rFonts w:ascii="Courier New" w:hAnsi="Courier New" w:cs="Courier New"/>
      </w:rPr>
    </w:lvl>
    <w:lvl w:ilvl="8">
      <w:numFmt w:val="bullet"/>
      <w:lvlText w:val=""/>
      <w:lvlJc w:val="left"/>
      <w:pPr>
        <w:ind w:left="6186" w:hanging="360"/>
      </w:pPr>
      <w:rPr>
        <w:rFonts w:ascii="Wingdings" w:hAnsi="Wingdings"/>
      </w:rPr>
    </w:lvl>
  </w:abstractNum>
  <w:abstractNum w:abstractNumId="4" w15:restartNumberingAfterBreak="0">
    <w:nsid w:val="60A90B17"/>
    <w:multiLevelType w:val="multilevel"/>
    <w:tmpl w:val="4912C01A"/>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61607E70"/>
    <w:multiLevelType w:val="multilevel"/>
    <w:tmpl w:val="CFB27AC0"/>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66D5543A"/>
    <w:multiLevelType w:val="multilevel"/>
    <w:tmpl w:val="EA1023E8"/>
    <w:lvl w:ilvl="0">
      <w:start w:val="4"/>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CA12B2C"/>
    <w:multiLevelType w:val="multilevel"/>
    <w:tmpl w:val="CF80E88E"/>
    <w:lvl w:ilvl="0">
      <w:start w:val="1"/>
      <w:numFmt w:val="decimal"/>
      <w:lvlText w:val="%1."/>
      <w:lvlJc w:val="left"/>
      <w:pPr>
        <w:ind w:left="2136" w:hanging="360"/>
      </w:pPr>
      <w:rPr>
        <w:b/>
        <w:i w:val="0"/>
      </w:rPr>
    </w:lvl>
    <w:lvl w:ilvl="1">
      <w:start w:val="1"/>
      <w:numFmt w:val="lowerLetter"/>
      <w:lvlText w:val="%2."/>
      <w:lvlJc w:val="left"/>
      <w:pPr>
        <w:ind w:left="2856" w:hanging="36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8" w15:restartNumberingAfterBreak="0">
    <w:nsid w:val="7B6779D1"/>
    <w:multiLevelType w:val="multilevel"/>
    <w:tmpl w:val="364E9EEA"/>
    <w:lvl w:ilvl="0">
      <w:numFmt w:val="bullet"/>
      <w:lvlText w:val="-"/>
      <w:lvlJc w:val="left"/>
      <w:pPr>
        <w:ind w:left="426" w:hanging="360"/>
      </w:pPr>
      <w:rPr>
        <w:rFonts w:ascii="Arial Narrow" w:eastAsia="Calibri" w:hAnsi="Arial Narrow" w:cs="Arial"/>
      </w:rPr>
    </w:lvl>
    <w:lvl w:ilvl="1">
      <w:numFmt w:val="bullet"/>
      <w:lvlText w:val="o"/>
      <w:lvlJc w:val="left"/>
      <w:pPr>
        <w:ind w:left="1146" w:hanging="360"/>
      </w:pPr>
      <w:rPr>
        <w:rFonts w:ascii="Courier New" w:hAnsi="Courier New" w:cs="Courier New"/>
      </w:rPr>
    </w:lvl>
    <w:lvl w:ilvl="2">
      <w:numFmt w:val="bullet"/>
      <w:lvlText w:val=""/>
      <w:lvlJc w:val="left"/>
      <w:pPr>
        <w:ind w:left="1866" w:hanging="360"/>
      </w:pPr>
      <w:rPr>
        <w:rFonts w:ascii="Wingdings" w:hAnsi="Wingdings"/>
      </w:rPr>
    </w:lvl>
    <w:lvl w:ilvl="3">
      <w:numFmt w:val="bullet"/>
      <w:lvlText w:val=""/>
      <w:lvlJc w:val="left"/>
      <w:pPr>
        <w:ind w:left="2586" w:hanging="360"/>
      </w:pPr>
      <w:rPr>
        <w:rFonts w:ascii="Symbol" w:hAnsi="Symbol"/>
      </w:rPr>
    </w:lvl>
    <w:lvl w:ilvl="4">
      <w:numFmt w:val="bullet"/>
      <w:lvlText w:val="o"/>
      <w:lvlJc w:val="left"/>
      <w:pPr>
        <w:ind w:left="3306" w:hanging="360"/>
      </w:pPr>
      <w:rPr>
        <w:rFonts w:ascii="Courier New" w:hAnsi="Courier New" w:cs="Courier New"/>
      </w:rPr>
    </w:lvl>
    <w:lvl w:ilvl="5">
      <w:numFmt w:val="bullet"/>
      <w:lvlText w:val=""/>
      <w:lvlJc w:val="left"/>
      <w:pPr>
        <w:ind w:left="4026" w:hanging="360"/>
      </w:pPr>
      <w:rPr>
        <w:rFonts w:ascii="Wingdings" w:hAnsi="Wingdings"/>
      </w:rPr>
    </w:lvl>
    <w:lvl w:ilvl="6">
      <w:numFmt w:val="bullet"/>
      <w:lvlText w:val=""/>
      <w:lvlJc w:val="left"/>
      <w:pPr>
        <w:ind w:left="4746" w:hanging="360"/>
      </w:pPr>
      <w:rPr>
        <w:rFonts w:ascii="Symbol" w:hAnsi="Symbol"/>
      </w:rPr>
    </w:lvl>
    <w:lvl w:ilvl="7">
      <w:numFmt w:val="bullet"/>
      <w:lvlText w:val="o"/>
      <w:lvlJc w:val="left"/>
      <w:pPr>
        <w:ind w:left="5466" w:hanging="360"/>
      </w:pPr>
      <w:rPr>
        <w:rFonts w:ascii="Courier New" w:hAnsi="Courier New" w:cs="Courier New"/>
      </w:rPr>
    </w:lvl>
    <w:lvl w:ilvl="8">
      <w:numFmt w:val="bullet"/>
      <w:lvlText w:val=""/>
      <w:lvlJc w:val="left"/>
      <w:pPr>
        <w:ind w:left="6186" w:hanging="360"/>
      </w:pPr>
      <w:rPr>
        <w:rFonts w:ascii="Wingdings" w:hAnsi="Wingdings"/>
      </w:rPr>
    </w:lvl>
  </w:abstractNum>
  <w:abstractNum w:abstractNumId="9" w15:restartNumberingAfterBreak="0">
    <w:nsid w:val="7DEC173D"/>
    <w:multiLevelType w:val="hybridMultilevel"/>
    <w:tmpl w:val="13FE674C"/>
    <w:lvl w:ilvl="0" w:tplc="EDC08D6C">
      <w:start w:val="3"/>
      <w:numFmt w:val="bullet"/>
      <w:lvlText w:val=""/>
      <w:lvlJc w:val="left"/>
      <w:pPr>
        <w:ind w:left="786" w:hanging="360"/>
      </w:pPr>
      <w:rPr>
        <w:rFonts w:ascii="Symbol" w:eastAsiaTheme="minorEastAsia" w:hAnsi="Symbol" w:cstheme="minorBidi" w:hint="default"/>
      </w:rPr>
    </w:lvl>
    <w:lvl w:ilvl="1" w:tplc="040A0003" w:tentative="1">
      <w:start w:val="1"/>
      <w:numFmt w:val="bullet"/>
      <w:lvlText w:val="o"/>
      <w:lvlJc w:val="left"/>
      <w:pPr>
        <w:ind w:left="1506" w:hanging="360"/>
      </w:pPr>
      <w:rPr>
        <w:rFonts w:ascii="Courier New" w:hAnsi="Courier New" w:cs="Courier New" w:hint="default"/>
      </w:rPr>
    </w:lvl>
    <w:lvl w:ilvl="2" w:tplc="040A0005" w:tentative="1">
      <w:start w:val="1"/>
      <w:numFmt w:val="bullet"/>
      <w:lvlText w:val=""/>
      <w:lvlJc w:val="left"/>
      <w:pPr>
        <w:ind w:left="2226" w:hanging="360"/>
      </w:pPr>
      <w:rPr>
        <w:rFonts w:ascii="Wingdings" w:hAnsi="Wingdings" w:hint="default"/>
      </w:rPr>
    </w:lvl>
    <w:lvl w:ilvl="3" w:tplc="040A0001" w:tentative="1">
      <w:start w:val="1"/>
      <w:numFmt w:val="bullet"/>
      <w:lvlText w:val=""/>
      <w:lvlJc w:val="left"/>
      <w:pPr>
        <w:ind w:left="2946" w:hanging="360"/>
      </w:pPr>
      <w:rPr>
        <w:rFonts w:ascii="Symbol" w:hAnsi="Symbol" w:hint="default"/>
      </w:rPr>
    </w:lvl>
    <w:lvl w:ilvl="4" w:tplc="040A0003" w:tentative="1">
      <w:start w:val="1"/>
      <w:numFmt w:val="bullet"/>
      <w:lvlText w:val="o"/>
      <w:lvlJc w:val="left"/>
      <w:pPr>
        <w:ind w:left="3666" w:hanging="360"/>
      </w:pPr>
      <w:rPr>
        <w:rFonts w:ascii="Courier New" w:hAnsi="Courier New" w:cs="Courier New" w:hint="default"/>
      </w:rPr>
    </w:lvl>
    <w:lvl w:ilvl="5" w:tplc="040A0005" w:tentative="1">
      <w:start w:val="1"/>
      <w:numFmt w:val="bullet"/>
      <w:lvlText w:val=""/>
      <w:lvlJc w:val="left"/>
      <w:pPr>
        <w:ind w:left="4386" w:hanging="360"/>
      </w:pPr>
      <w:rPr>
        <w:rFonts w:ascii="Wingdings" w:hAnsi="Wingdings" w:hint="default"/>
      </w:rPr>
    </w:lvl>
    <w:lvl w:ilvl="6" w:tplc="040A0001" w:tentative="1">
      <w:start w:val="1"/>
      <w:numFmt w:val="bullet"/>
      <w:lvlText w:val=""/>
      <w:lvlJc w:val="left"/>
      <w:pPr>
        <w:ind w:left="5106" w:hanging="360"/>
      </w:pPr>
      <w:rPr>
        <w:rFonts w:ascii="Symbol" w:hAnsi="Symbol" w:hint="default"/>
      </w:rPr>
    </w:lvl>
    <w:lvl w:ilvl="7" w:tplc="040A0003" w:tentative="1">
      <w:start w:val="1"/>
      <w:numFmt w:val="bullet"/>
      <w:lvlText w:val="o"/>
      <w:lvlJc w:val="left"/>
      <w:pPr>
        <w:ind w:left="5826" w:hanging="360"/>
      </w:pPr>
      <w:rPr>
        <w:rFonts w:ascii="Courier New" w:hAnsi="Courier New" w:cs="Courier New" w:hint="default"/>
      </w:rPr>
    </w:lvl>
    <w:lvl w:ilvl="8" w:tplc="040A0005" w:tentative="1">
      <w:start w:val="1"/>
      <w:numFmt w:val="bullet"/>
      <w:lvlText w:val=""/>
      <w:lvlJc w:val="left"/>
      <w:pPr>
        <w:ind w:left="6546" w:hanging="360"/>
      </w:pPr>
      <w:rPr>
        <w:rFonts w:ascii="Wingdings" w:hAnsi="Wingdings" w:hint="default"/>
      </w:rPr>
    </w:lvl>
  </w:abstractNum>
  <w:num w:numId="1" w16cid:durableId="45110341">
    <w:abstractNumId w:val="7"/>
  </w:num>
  <w:num w:numId="2" w16cid:durableId="1890220159">
    <w:abstractNumId w:val="6"/>
  </w:num>
  <w:num w:numId="3" w16cid:durableId="1608655051">
    <w:abstractNumId w:val="8"/>
  </w:num>
  <w:num w:numId="4" w16cid:durableId="1103455922">
    <w:abstractNumId w:val="5"/>
  </w:num>
  <w:num w:numId="5" w16cid:durableId="885217502">
    <w:abstractNumId w:val="2"/>
  </w:num>
  <w:num w:numId="6" w16cid:durableId="1551921682">
    <w:abstractNumId w:val="1"/>
  </w:num>
  <w:num w:numId="7" w16cid:durableId="1904481986">
    <w:abstractNumId w:val="3"/>
  </w:num>
  <w:num w:numId="8" w16cid:durableId="1081685221">
    <w:abstractNumId w:val="4"/>
  </w:num>
  <w:num w:numId="9" w16cid:durableId="1917593182">
    <w:abstractNumId w:val="0"/>
  </w:num>
  <w:num w:numId="10" w16cid:durableId="32574647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0692"/>
    <w:rsid w:val="00000098"/>
    <w:rsid w:val="00000656"/>
    <w:rsid w:val="000405A0"/>
    <w:rsid w:val="000B1DFC"/>
    <w:rsid w:val="000F030E"/>
    <w:rsid w:val="001622C5"/>
    <w:rsid w:val="00166578"/>
    <w:rsid w:val="00222C75"/>
    <w:rsid w:val="00251B0F"/>
    <w:rsid w:val="0027371D"/>
    <w:rsid w:val="0031538E"/>
    <w:rsid w:val="00361057"/>
    <w:rsid w:val="00371295"/>
    <w:rsid w:val="003A36B2"/>
    <w:rsid w:val="003C1EC3"/>
    <w:rsid w:val="004049A3"/>
    <w:rsid w:val="00440F76"/>
    <w:rsid w:val="00484713"/>
    <w:rsid w:val="004865F6"/>
    <w:rsid w:val="004A6C94"/>
    <w:rsid w:val="004B77AD"/>
    <w:rsid w:val="00513507"/>
    <w:rsid w:val="00527BB1"/>
    <w:rsid w:val="00571B6C"/>
    <w:rsid w:val="005757F9"/>
    <w:rsid w:val="005C280D"/>
    <w:rsid w:val="005D63EA"/>
    <w:rsid w:val="00620DC2"/>
    <w:rsid w:val="00650E23"/>
    <w:rsid w:val="0066446D"/>
    <w:rsid w:val="007470EB"/>
    <w:rsid w:val="00757713"/>
    <w:rsid w:val="00761134"/>
    <w:rsid w:val="00771D9D"/>
    <w:rsid w:val="007A63B3"/>
    <w:rsid w:val="007C6FCB"/>
    <w:rsid w:val="007F3001"/>
    <w:rsid w:val="008141EC"/>
    <w:rsid w:val="008874C6"/>
    <w:rsid w:val="008A1762"/>
    <w:rsid w:val="008C02E9"/>
    <w:rsid w:val="008D55FD"/>
    <w:rsid w:val="00900692"/>
    <w:rsid w:val="0094553C"/>
    <w:rsid w:val="0096633E"/>
    <w:rsid w:val="00971405"/>
    <w:rsid w:val="00994E8F"/>
    <w:rsid w:val="009B0E62"/>
    <w:rsid w:val="009B7EE6"/>
    <w:rsid w:val="009F38C0"/>
    <w:rsid w:val="00A316F7"/>
    <w:rsid w:val="00A4368F"/>
    <w:rsid w:val="00A52ACB"/>
    <w:rsid w:val="00A66B4D"/>
    <w:rsid w:val="00AA463C"/>
    <w:rsid w:val="00AB3C50"/>
    <w:rsid w:val="00AC09C6"/>
    <w:rsid w:val="00AD011F"/>
    <w:rsid w:val="00B2702C"/>
    <w:rsid w:val="00B5503D"/>
    <w:rsid w:val="00B5633D"/>
    <w:rsid w:val="00BA739C"/>
    <w:rsid w:val="00BB409E"/>
    <w:rsid w:val="00C04BC9"/>
    <w:rsid w:val="00C100AF"/>
    <w:rsid w:val="00C135D1"/>
    <w:rsid w:val="00C15BBC"/>
    <w:rsid w:val="00C2706A"/>
    <w:rsid w:val="00C50C7E"/>
    <w:rsid w:val="00CF1F2F"/>
    <w:rsid w:val="00CF4212"/>
    <w:rsid w:val="00D467D5"/>
    <w:rsid w:val="00D55D18"/>
    <w:rsid w:val="00D57222"/>
    <w:rsid w:val="00DC2838"/>
    <w:rsid w:val="00DD3985"/>
    <w:rsid w:val="00E4297A"/>
    <w:rsid w:val="00E47871"/>
    <w:rsid w:val="00E54983"/>
    <w:rsid w:val="00EA4F7A"/>
    <w:rsid w:val="00ED087E"/>
    <w:rsid w:val="00F10490"/>
    <w:rsid w:val="00F104F3"/>
    <w:rsid w:val="00F9660A"/>
    <w:rsid w:val="00FA4EDB"/>
    <w:rsid w:val="00FB7651"/>
    <w:rsid w:val="00FD0072"/>
    <w:rsid w:val="00FF4B49"/>
  </w:rsids>
  <m:mathPr>
    <m:mathFont m:val="Cambria Math"/>
    <m:brkBin m:val="before"/>
    <m:brkBinSub m:val="--"/>
    <m:smallFrac m:val="0"/>
    <m:dispDef/>
    <m:lMargin m:val="0"/>
    <m:rMargin m:val="0"/>
    <m:defJc m:val="centerGroup"/>
    <m:wrapIndent m:val="1440"/>
    <m:intLim m:val="subSup"/>
    <m:naryLim m:val="undOvr"/>
  </m:mathPr>
  <w:themeFontLang w:val="es-CO"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D472E2"/>
  <w15:docId w15:val="{BC7FB4D5-6066-6243-842A-DAFFB8E91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4"/>
        <w:szCs w:val="24"/>
        <w:lang w:val="es-CO"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pPr>
      <w:tabs>
        <w:tab w:val="center" w:pos="4252"/>
        <w:tab w:val="right" w:pos="8504"/>
      </w:tabs>
    </w:pPr>
  </w:style>
  <w:style w:type="character" w:customStyle="1" w:styleId="EncabezadoCar">
    <w:name w:val="Encabezado Car"/>
    <w:basedOn w:val="Fuentedeprrafopredeter"/>
  </w:style>
  <w:style w:type="paragraph" w:styleId="Piedepgina">
    <w:name w:val="footer"/>
    <w:basedOn w:val="Normal"/>
    <w:pPr>
      <w:tabs>
        <w:tab w:val="center" w:pos="4252"/>
        <w:tab w:val="right" w:pos="8504"/>
      </w:tabs>
    </w:pPr>
  </w:style>
  <w:style w:type="character" w:customStyle="1" w:styleId="PiedepginaCar">
    <w:name w:val="Pie de página Car"/>
    <w:basedOn w:val="Fuentedeprrafopredeter"/>
  </w:style>
  <w:style w:type="paragraph" w:customStyle="1" w:styleId="Standard">
    <w:name w:val="Standard"/>
    <w:pPr>
      <w:widowControl w:val="0"/>
      <w:suppressAutoHyphens/>
    </w:pPr>
    <w:rPr>
      <w:rFonts w:ascii="Times New Roman" w:eastAsia="Arial Unicode MS" w:hAnsi="Times New Roman"/>
      <w:kern w:val="3"/>
      <w:lang w:val="en-US" w:eastAsia="es-CO"/>
    </w:rPr>
  </w:style>
  <w:style w:type="paragraph" w:customStyle="1" w:styleId="Estilo1">
    <w:name w:val="Estilo1"/>
    <w:basedOn w:val="Standard"/>
    <w:pPr>
      <w:widowControl/>
      <w:textAlignment w:val="auto"/>
    </w:pPr>
    <w:rPr>
      <w:rFonts w:ascii="Arial" w:eastAsia="Times New Roman" w:hAnsi="Arial"/>
      <w:kern w:val="0"/>
      <w:sz w:val="20"/>
      <w:szCs w:val="20"/>
      <w:lang w:val="es-ES" w:eastAsia="es-ES" w:bidi="hi-IN"/>
    </w:rPr>
  </w:style>
  <w:style w:type="paragraph" w:customStyle="1" w:styleId="Textbody">
    <w:name w:val="Text body"/>
    <w:basedOn w:val="Normal"/>
    <w:rPr>
      <w:rFonts w:ascii="Arial" w:eastAsia="Arial Unicode MS" w:hAnsi="Arial" w:cs="Arial"/>
      <w:b/>
      <w:bCs/>
      <w:kern w:val="3"/>
      <w:lang w:eastAsia="es-CO"/>
    </w:rPr>
  </w:style>
  <w:style w:type="character" w:customStyle="1" w:styleId="fuentedeprrafopredeter1111111111">
    <w:name w:val="fuente de párrafo predeter.1_1_1_1_1_1_1_1_1_1"/>
  </w:style>
  <w:style w:type="character" w:customStyle="1" w:styleId="fuentedeprrafopredeter111">
    <w:name w:val="fuente de párrafo predeter.1_1_1"/>
  </w:style>
  <w:style w:type="character" w:customStyle="1" w:styleId="fuentedeprrafopredeter1111111">
    <w:name w:val="fuente de párrafo predeter.1_1_1_1_1_1_1"/>
  </w:style>
  <w:style w:type="paragraph" w:customStyle="1" w:styleId="Subttulo1">
    <w:name w:val="Subtítulo1"/>
    <w:basedOn w:val="Normal"/>
    <w:next w:val="Normal"/>
    <w:pPr>
      <w:widowControl w:val="0"/>
      <w:tabs>
        <w:tab w:val="left" w:pos="0"/>
      </w:tabs>
      <w:spacing w:after="60"/>
      <w:jc w:val="center"/>
      <w:outlineLvl w:val="1"/>
    </w:pPr>
    <w:rPr>
      <w:rFonts w:ascii="Cambria" w:eastAsia="Times New Roman" w:hAnsi="Cambria"/>
      <w:lang w:val="en-US" w:eastAsia="es-CO"/>
    </w:rPr>
  </w:style>
  <w:style w:type="paragraph" w:styleId="Prrafodelista">
    <w:name w:val="List Paragraph"/>
    <w:aliases w:val="HOJA,Bolita,Párrafo de lista4,BOLADEF,Párrafo de lista2,Párrafo de lista3,Párrafo de lista21,BOLA,Nivel 1 OS,Cita textual,Lista vistosa - Énfasis 11,Párrafo de tabla,Segunda viñeta,Titulo 8,Guión,Párrafo de lista31,BOLITA,Ha,titulo 3,T2"/>
    <w:basedOn w:val="Normal"/>
    <w:link w:val="PrrafodelistaCar"/>
    <w:uiPriority w:val="34"/>
    <w:qFormat/>
    <w:pPr>
      <w:ind w:left="720"/>
    </w:pPr>
  </w:style>
  <w:style w:type="character" w:customStyle="1" w:styleId="Bodytext18">
    <w:name w:val="Body text (18)"/>
    <w:basedOn w:val="Fuentedeprrafopredeter"/>
    <w:rPr>
      <w:rFonts w:ascii="Arial" w:hAnsi="Arial"/>
      <w:b/>
      <w:bCs/>
      <w:shd w:val="clear" w:color="auto" w:fill="FFFFFF"/>
    </w:rPr>
  </w:style>
  <w:style w:type="character" w:customStyle="1" w:styleId="Bodytext18NotBold">
    <w:name w:val="Body text (18) + Not Bold"/>
    <w:basedOn w:val="Bodytext18"/>
    <w:rPr>
      <w:rFonts w:ascii="Arial" w:hAnsi="Arial"/>
      <w:b/>
      <w:bCs/>
      <w:shd w:val="clear" w:color="auto" w:fill="FFFFFF"/>
    </w:rPr>
  </w:style>
  <w:style w:type="character" w:customStyle="1" w:styleId="Bodytext19">
    <w:name w:val="Body text (19)"/>
    <w:basedOn w:val="Fuentedeprrafopredeter"/>
    <w:rPr>
      <w:rFonts w:ascii="Arial" w:hAnsi="Arial"/>
      <w:b/>
      <w:bCs/>
      <w:shd w:val="clear" w:color="auto" w:fill="FFFFFF"/>
    </w:rPr>
  </w:style>
  <w:style w:type="character" w:customStyle="1" w:styleId="Textoindependiente1">
    <w:name w:val="Texto independiente1"/>
    <w:basedOn w:val="Fuentedeprrafopredeter"/>
    <w:rPr>
      <w:rFonts w:ascii="Arial" w:hAnsi="Arial"/>
      <w:shd w:val="clear" w:color="auto" w:fill="FFFFFF"/>
    </w:rPr>
  </w:style>
  <w:style w:type="character" w:customStyle="1" w:styleId="BodytextItalic">
    <w:name w:val="Body text + Italic"/>
    <w:basedOn w:val="Textoindependiente1"/>
    <w:rPr>
      <w:rFonts w:ascii="Arial" w:hAnsi="Arial"/>
      <w:i/>
      <w:iCs/>
      <w:shd w:val="clear" w:color="auto" w:fill="FFFFFF"/>
    </w:rPr>
  </w:style>
  <w:style w:type="character" w:customStyle="1" w:styleId="Bodytext20">
    <w:name w:val="Body text (20)"/>
    <w:basedOn w:val="Fuentedeprrafopredeter"/>
    <w:rPr>
      <w:rFonts w:ascii="Arial" w:hAnsi="Arial"/>
      <w:b/>
      <w:bCs/>
      <w:shd w:val="clear" w:color="auto" w:fill="FFFFFF"/>
    </w:rPr>
  </w:style>
  <w:style w:type="character" w:customStyle="1" w:styleId="Bodytext4">
    <w:name w:val="Body text (4)"/>
    <w:basedOn w:val="Fuentedeprrafopredeter"/>
    <w:rPr>
      <w:rFonts w:ascii="Arial" w:hAnsi="Arial"/>
      <w:shd w:val="clear" w:color="auto" w:fill="FFFFFF"/>
    </w:rPr>
  </w:style>
  <w:style w:type="character" w:customStyle="1" w:styleId="Bodytext16NotBold">
    <w:name w:val="Body text (16) + Not Bold"/>
    <w:basedOn w:val="Fuentedeprrafopredeter"/>
    <w:rPr>
      <w:rFonts w:ascii="Arial" w:hAnsi="Arial"/>
      <w:b/>
      <w:bCs/>
      <w:i/>
      <w:iCs/>
      <w:shd w:val="clear" w:color="auto" w:fill="FFFFFF"/>
    </w:rPr>
  </w:style>
  <w:style w:type="character" w:customStyle="1" w:styleId="Bodytext6Bold">
    <w:name w:val="Body text (6) + Bold"/>
    <w:basedOn w:val="Fuentedeprrafopredeter"/>
    <w:rPr>
      <w:rFonts w:ascii="Arial" w:hAnsi="Arial"/>
      <w:b/>
      <w:bCs/>
      <w:i/>
      <w:iCs/>
      <w:shd w:val="clear" w:color="auto" w:fill="FFFFFF"/>
    </w:rPr>
  </w:style>
  <w:style w:type="character" w:customStyle="1" w:styleId="Bodytext2">
    <w:name w:val="Body text (2)"/>
    <w:basedOn w:val="Fuentedeprrafopredeter"/>
    <w:rPr>
      <w:rFonts w:ascii="Arial" w:hAnsi="Arial"/>
      <w:b/>
      <w:bCs/>
      <w:shd w:val="clear" w:color="auto" w:fill="FFFFFF"/>
    </w:rPr>
  </w:style>
  <w:style w:type="character" w:customStyle="1" w:styleId="Bodytext2NotBold">
    <w:name w:val="Body text (2) + Not Bold"/>
    <w:basedOn w:val="Bodytext2"/>
    <w:rPr>
      <w:rFonts w:ascii="Arial" w:hAnsi="Arial"/>
      <w:b/>
      <w:bCs/>
      <w:i/>
      <w:iCs/>
      <w:shd w:val="clear" w:color="auto" w:fill="FFFFFF"/>
    </w:rPr>
  </w:style>
  <w:style w:type="character" w:customStyle="1" w:styleId="Bodytext2NotBold1">
    <w:name w:val="Body text (2) + Not Bold1"/>
    <w:basedOn w:val="Bodytext2"/>
    <w:rPr>
      <w:rFonts w:ascii="Arial" w:hAnsi="Arial"/>
      <w:b/>
      <w:bCs/>
      <w:i/>
      <w:iCs/>
      <w:u w:val="single"/>
      <w:shd w:val="clear" w:color="auto" w:fill="FFFFFF"/>
    </w:rPr>
  </w:style>
  <w:style w:type="character" w:customStyle="1" w:styleId="Bodytext42">
    <w:name w:val="Body text (4)2"/>
    <w:basedOn w:val="Bodytext4"/>
    <w:rPr>
      <w:rFonts w:ascii="Arial" w:hAnsi="Arial"/>
      <w:u w:val="single"/>
      <w:shd w:val="clear" w:color="auto" w:fill="FFFFFF"/>
    </w:rPr>
  </w:style>
  <w:style w:type="character" w:customStyle="1" w:styleId="Heading14">
    <w:name w:val="Heading #1 (4)"/>
    <w:basedOn w:val="Fuentedeprrafopredeter"/>
    <w:rPr>
      <w:rFonts w:ascii="Arial" w:hAnsi="Arial"/>
      <w:b/>
      <w:bCs/>
      <w:shd w:val="clear" w:color="auto" w:fill="FFFFFF"/>
    </w:rPr>
  </w:style>
  <w:style w:type="paragraph" w:customStyle="1" w:styleId="Bodytext181">
    <w:name w:val="Body text (18)1"/>
    <w:basedOn w:val="Normal"/>
    <w:pPr>
      <w:shd w:val="clear" w:color="auto" w:fill="FFFFFF"/>
      <w:suppressAutoHyphens w:val="0"/>
      <w:spacing w:after="300" w:line="240" w:lineRule="atLeast"/>
      <w:jc w:val="center"/>
      <w:textAlignment w:val="auto"/>
    </w:pPr>
    <w:rPr>
      <w:rFonts w:ascii="Arial" w:hAnsi="Arial"/>
      <w:b/>
      <w:bCs/>
    </w:rPr>
  </w:style>
  <w:style w:type="paragraph" w:customStyle="1" w:styleId="Bodytext191">
    <w:name w:val="Body text (19)1"/>
    <w:basedOn w:val="Normal"/>
    <w:pPr>
      <w:shd w:val="clear" w:color="auto" w:fill="FFFFFF"/>
      <w:suppressAutoHyphens w:val="0"/>
      <w:spacing w:before="180" w:after="180" w:line="256" w:lineRule="exact"/>
      <w:ind w:hanging="320"/>
      <w:textAlignment w:val="auto"/>
    </w:pPr>
    <w:rPr>
      <w:rFonts w:ascii="Arial" w:hAnsi="Arial"/>
      <w:b/>
      <w:bCs/>
    </w:rPr>
  </w:style>
  <w:style w:type="paragraph" w:customStyle="1" w:styleId="Bodytext1">
    <w:name w:val="Body text1"/>
    <w:basedOn w:val="Normal"/>
    <w:pPr>
      <w:shd w:val="clear" w:color="auto" w:fill="FFFFFF"/>
      <w:suppressAutoHyphens w:val="0"/>
      <w:spacing w:before="180" w:after="180" w:line="248" w:lineRule="exact"/>
      <w:jc w:val="both"/>
      <w:textAlignment w:val="auto"/>
    </w:pPr>
    <w:rPr>
      <w:rFonts w:ascii="Arial" w:hAnsi="Arial"/>
    </w:rPr>
  </w:style>
  <w:style w:type="paragraph" w:customStyle="1" w:styleId="Bodytext201">
    <w:name w:val="Body text (20)1"/>
    <w:basedOn w:val="Normal"/>
    <w:pPr>
      <w:shd w:val="clear" w:color="auto" w:fill="FFFFFF"/>
      <w:suppressAutoHyphens w:val="0"/>
      <w:spacing w:before="240" w:after="240" w:line="240" w:lineRule="atLeast"/>
      <w:textAlignment w:val="auto"/>
    </w:pPr>
    <w:rPr>
      <w:rFonts w:ascii="Arial" w:hAnsi="Arial"/>
      <w:b/>
      <w:bCs/>
    </w:rPr>
  </w:style>
  <w:style w:type="paragraph" w:customStyle="1" w:styleId="Bodytext41">
    <w:name w:val="Body text (4)1"/>
    <w:basedOn w:val="Normal"/>
    <w:pPr>
      <w:shd w:val="clear" w:color="auto" w:fill="FFFFFF"/>
      <w:suppressAutoHyphens w:val="0"/>
      <w:spacing w:line="240" w:lineRule="atLeast"/>
      <w:textAlignment w:val="auto"/>
    </w:pPr>
    <w:rPr>
      <w:rFonts w:ascii="Arial" w:hAnsi="Arial"/>
    </w:rPr>
  </w:style>
  <w:style w:type="paragraph" w:customStyle="1" w:styleId="Bodytext21">
    <w:name w:val="Body text (2)1"/>
    <w:basedOn w:val="Normal"/>
    <w:pPr>
      <w:shd w:val="clear" w:color="auto" w:fill="FFFFFF"/>
      <w:suppressAutoHyphens w:val="0"/>
      <w:spacing w:line="240" w:lineRule="atLeast"/>
      <w:textAlignment w:val="auto"/>
    </w:pPr>
    <w:rPr>
      <w:rFonts w:ascii="Arial" w:hAnsi="Arial"/>
      <w:b/>
      <w:bCs/>
    </w:rPr>
  </w:style>
  <w:style w:type="paragraph" w:customStyle="1" w:styleId="Heading141">
    <w:name w:val="Heading #1 (4)1"/>
    <w:basedOn w:val="Normal"/>
    <w:pPr>
      <w:shd w:val="clear" w:color="auto" w:fill="FFFFFF"/>
      <w:suppressAutoHyphens w:val="0"/>
      <w:spacing w:before="300" w:after="300" w:line="240" w:lineRule="atLeast"/>
      <w:textAlignment w:val="auto"/>
      <w:outlineLvl w:val="0"/>
    </w:pPr>
    <w:rPr>
      <w:rFonts w:ascii="Arial" w:hAnsi="Arial"/>
      <w:b/>
      <w:bCs/>
    </w:rPr>
  </w:style>
  <w:style w:type="paragraph" w:customStyle="1" w:styleId="CUERPOTEXTO">
    <w:name w:val="CUERPO TEXTO"/>
    <w:pPr>
      <w:widowControl w:val="0"/>
      <w:tabs>
        <w:tab w:val="center" w:pos="510"/>
        <w:tab w:val="left" w:pos="1134"/>
      </w:tabs>
      <w:autoSpaceDE w:val="0"/>
      <w:spacing w:before="28" w:after="28" w:line="210" w:lineRule="atLeast"/>
      <w:ind w:firstLine="283"/>
      <w:jc w:val="both"/>
      <w:textAlignment w:val="auto"/>
    </w:pPr>
    <w:rPr>
      <w:rFonts w:ascii="Times New Roman" w:eastAsia="Times New Roman" w:hAnsi="Times New Roman"/>
      <w:color w:val="000000"/>
      <w:sz w:val="19"/>
      <w:szCs w:val="19"/>
      <w:lang w:val="es-ES" w:eastAsia="es-ES"/>
    </w:rPr>
  </w:style>
  <w:style w:type="paragraph" w:styleId="NormalWeb">
    <w:name w:val="Normal (Web)"/>
    <w:basedOn w:val="Normal"/>
    <w:uiPriority w:val="99"/>
    <w:pPr>
      <w:suppressAutoHyphens w:val="0"/>
      <w:spacing w:before="100" w:after="100"/>
      <w:textAlignment w:val="auto"/>
    </w:pPr>
    <w:rPr>
      <w:rFonts w:ascii="Times New Roman" w:eastAsia="Times New Roman" w:hAnsi="Times New Roman"/>
      <w:lang w:val="es-ES" w:eastAsia="es-ES"/>
    </w:rPr>
  </w:style>
  <w:style w:type="paragraph" w:styleId="Textocomentario">
    <w:name w:val="annotation text"/>
    <w:basedOn w:val="Normal"/>
    <w:rPr>
      <w:rFonts w:ascii="Arial Narrow" w:eastAsia="MS Mincho" w:hAnsi="Arial Narrow"/>
      <w:sz w:val="20"/>
      <w:szCs w:val="20"/>
      <w:lang w:val="es-ES" w:eastAsia="es-ES"/>
    </w:rPr>
  </w:style>
  <w:style w:type="character" w:customStyle="1" w:styleId="TextocomentarioCar">
    <w:name w:val="Texto comentario Car"/>
    <w:basedOn w:val="Fuentedeprrafopredeter"/>
    <w:rPr>
      <w:rFonts w:ascii="Arial Narrow" w:eastAsia="MS Mincho" w:hAnsi="Arial Narrow"/>
      <w:sz w:val="20"/>
      <w:szCs w:val="20"/>
      <w:lang w:val="es-ES" w:eastAsia="es-ES"/>
    </w:rPr>
  </w:style>
  <w:style w:type="paragraph" w:customStyle="1" w:styleId="Cuadrculamedia1-nfasis21">
    <w:name w:val="Cuadrícula media 1 - Énfasis 21"/>
    <w:basedOn w:val="Normal"/>
    <w:pPr>
      <w:spacing w:after="200" w:line="276" w:lineRule="auto"/>
      <w:ind w:left="720"/>
    </w:pPr>
    <w:rPr>
      <w:sz w:val="22"/>
      <w:szCs w:val="22"/>
    </w:rPr>
  </w:style>
  <w:style w:type="character" w:styleId="Refdecomentario">
    <w:name w:val="annotation reference"/>
    <w:rPr>
      <w:sz w:val="16"/>
      <w:szCs w:val="16"/>
    </w:rPr>
  </w:style>
  <w:style w:type="character" w:customStyle="1" w:styleId="Cuadrculamedia1-nfasis2Car">
    <w:name w:val="Cuadrícula media 1 - Énfasis 2 Car"/>
    <w:rPr>
      <w:sz w:val="22"/>
      <w:szCs w:val="22"/>
    </w:rPr>
  </w:style>
  <w:style w:type="paragraph" w:styleId="Revisin">
    <w:name w:val="Revision"/>
    <w:pPr>
      <w:textAlignment w:val="auto"/>
    </w:pPr>
  </w:style>
  <w:style w:type="paragraph" w:styleId="Asuntodelcomentario">
    <w:name w:val="annotation subject"/>
    <w:basedOn w:val="Textocomentario"/>
    <w:next w:val="Textocomentario"/>
    <w:link w:val="AsuntodelcomentarioCar"/>
    <w:uiPriority w:val="99"/>
    <w:rsid w:val="00361057"/>
    <w:rPr>
      <w:rFonts w:ascii="Calibri" w:eastAsia="Calibri" w:hAnsi="Calibri"/>
      <w:b/>
      <w:bCs/>
      <w:lang w:val="es-CO" w:eastAsia="en-US"/>
    </w:rPr>
  </w:style>
  <w:style w:type="character" w:customStyle="1" w:styleId="TextocomentarioCar1">
    <w:name w:val="Texto comentario Car1"/>
    <w:basedOn w:val="Fuentedeprrafopredeter"/>
    <w:rPr>
      <w:rFonts w:ascii="Arial Narrow" w:eastAsia="MS Mincho" w:hAnsi="Arial Narrow"/>
      <w:sz w:val="20"/>
      <w:szCs w:val="20"/>
      <w:lang w:val="es-ES" w:eastAsia="es-ES"/>
    </w:rPr>
  </w:style>
  <w:style w:type="character" w:customStyle="1" w:styleId="AsuntodelcomentarioCar">
    <w:name w:val="Asunto del comentario Car"/>
    <w:basedOn w:val="TextocomentarioCar1"/>
    <w:link w:val="Asuntodelcomentario"/>
    <w:uiPriority w:val="99"/>
    <w:rPr>
      <w:rFonts w:ascii="Arial Narrow" w:eastAsia="MS Mincho" w:hAnsi="Arial Narrow"/>
      <w:b/>
      <w:bCs/>
      <w:sz w:val="20"/>
      <w:szCs w:val="20"/>
      <w:lang w:val="es-ES" w:eastAsia="es-ES"/>
    </w:rPr>
  </w:style>
  <w:style w:type="table" w:styleId="Tablaconcuadrcula">
    <w:name w:val="Table Grid"/>
    <w:basedOn w:val="Tablanormal"/>
    <w:rsid w:val="004865F6"/>
    <w:pPr>
      <w:autoSpaceDN/>
      <w:textAlignment w:val="auto"/>
    </w:pPr>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3C1EC3"/>
    <w:rPr>
      <w:rFonts w:ascii="Times New Roman" w:hAnsi="Times New Roman"/>
      <w:sz w:val="18"/>
      <w:szCs w:val="18"/>
    </w:rPr>
  </w:style>
  <w:style w:type="character" w:customStyle="1" w:styleId="TextodegloboCar">
    <w:name w:val="Texto de globo Car"/>
    <w:basedOn w:val="Fuentedeprrafopredeter"/>
    <w:link w:val="Textodeglobo"/>
    <w:uiPriority w:val="99"/>
    <w:semiHidden/>
    <w:rsid w:val="003C1EC3"/>
    <w:rPr>
      <w:rFonts w:ascii="Times New Roman" w:hAnsi="Times New Roman"/>
      <w:sz w:val="18"/>
      <w:szCs w:val="18"/>
    </w:rPr>
  </w:style>
  <w:style w:type="character" w:customStyle="1" w:styleId="ui-provider">
    <w:name w:val="ui-provider"/>
    <w:basedOn w:val="Fuentedeprrafopredeter"/>
    <w:rsid w:val="00222C75"/>
  </w:style>
  <w:style w:type="character" w:customStyle="1" w:styleId="PrrafodelistaCar">
    <w:name w:val="Párrafo de lista Car"/>
    <w:aliases w:val="HOJA Car,Bolita Car,Párrafo de lista4 Car,BOLADEF Car,Párrafo de lista2 Car,Párrafo de lista3 Car,Párrafo de lista21 Car,BOLA Car,Nivel 1 OS Car,Cita textual Car,Lista vistosa - Énfasis 11 Car,Párrafo de tabla Car,Segunda viñeta Car"/>
    <w:link w:val="Prrafodelista"/>
    <w:uiPriority w:val="34"/>
    <w:qFormat/>
    <w:locked/>
    <w:rsid w:val="00FB7651"/>
    <w:rPr>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646630">
      <w:bodyDiv w:val="1"/>
      <w:marLeft w:val="0"/>
      <w:marRight w:val="0"/>
      <w:marTop w:val="0"/>
      <w:marBottom w:val="0"/>
      <w:divBdr>
        <w:top w:val="none" w:sz="0" w:space="0" w:color="auto"/>
        <w:left w:val="none" w:sz="0" w:space="0" w:color="auto"/>
        <w:bottom w:val="none" w:sz="0" w:space="0" w:color="auto"/>
        <w:right w:val="none" w:sz="0" w:space="0" w:color="auto"/>
      </w:divBdr>
      <w:divsChild>
        <w:div w:id="1334260703">
          <w:marLeft w:val="547"/>
          <w:marRight w:val="0"/>
          <w:marTop w:val="0"/>
          <w:marBottom w:val="0"/>
          <w:divBdr>
            <w:top w:val="none" w:sz="0" w:space="0" w:color="auto"/>
            <w:left w:val="none" w:sz="0" w:space="0" w:color="auto"/>
            <w:bottom w:val="none" w:sz="0" w:space="0" w:color="auto"/>
            <w:right w:val="none" w:sz="0" w:space="0" w:color="auto"/>
          </w:divBdr>
        </w:div>
      </w:divsChild>
    </w:div>
    <w:div w:id="286160591">
      <w:bodyDiv w:val="1"/>
      <w:marLeft w:val="0"/>
      <w:marRight w:val="0"/>
      <w:marTop w:val="0"/>
      <w:marBottom w:val="0"/>
      <w:divBdr>
        <w:top w:val="none" w:sz="0" w:space="0" w:color="auto"/>
        <w:left w:val="none" w:sz="0" w:space="0" w:color="auto"/>
        <w:bottom w:val="none" w:sz="0" w:space="0" w:color="auto"/>
        <w:right w:val="none" w:sz="0" w:space="0" w:color="auto"/>
      </w:divBdr>
      <w:divsChild>
        <w:div w:id="1210150857">
          <w:marLeft w:val="547"/>
          <w:marRight w:val="0"/>
          <w:marTop w:val="0"/>
          <w:marBottom w:val="0"/>
          <w:divBdr>
            <w:top w:val="none" w:sz="0" w:space="0" w:color="auto"/>
            <w:left w:val="none" w:sz="0" w:space="0" w:color="auto"/>
            <w:bottom w:val="none" w:sz="0" w:space="0" w:color="auto"/>
            <w:right w:val="none" w:sz="0" w:space="0" w:color="auto"/>
          </w:divBdr>
        </w:div>
      </w:divsChild>
    </w:div>
    <w:div w:id="424427908">
      <w:bodyDiv w:val="1"/>
      <w:marLeft w:val="0"/>
      <w:marRight w:val="0"/>
      <w:marTop w:val="0"/>
      <w:marBottom w:val="0"/>
      <w:divBdr>
        <w:top w:val="none" w:sz="0" w:space="0" w:color="auto"/>
        <w:left w:val="none" w:sz="0" w:space="0" w:color="auto"/>
        <w:bottom w:val="none" w:sz="0" w:space="0" w:color="auto"/>
        <w:right w:val="none" w:sz="0" w:space="0" w:color="auto"/>
      </w:divBdr>
    </w:div>
    <w:div w:id="632636098">
      <w:bodyDiv w:val="1"/>
      <w:marLeft w:val="0"/>
      <w:marRight w:val="0"/>
      <w:marTop w:val="0"/>
      <w:marBottom w:val="0"/>
      <w:divBdr>
        <w:top w:val="none" w:sz="0" w:space="0" w:color="auto"/>
        <w:left w:val="none" w:sz="0" w:space="0" w:color="auto"/>
        <w:bottom w:val="none" w:sz="0" w:space="0" w:color="auto"/>
        <w:right w:val="none" w:sz="0" w:space="0" w:color="auto"/>
      </w:divBdr>
    </w:div>
    <w:div w:id="1457136863">
      <w:bodyDiv w:val="1"/>
      <w:marLeft w:val="0"/>
      <w:marRight w:val="0"/>
      <w:marTop w:val="0"/>
      <w:marBottom w:val="0"/>
      <w:divBdr>
        <w:top w:val="none" w:sz="0" w:space="0" w:color="auto"/>
        <w:left w:val="none" w:sz="0" w:space="0" w:color="auto"/>
        <w:bottom w:val="none" w:sz="0" w:space="0" w:color="auto"/>
        <w:right w:val="none" w:sz="0" w:space="0" w:color="auto"/>
      </w:divBdr>
    </w:div>
    <w:div w:id="1485271979">
      <w:bodyDiv w:val="1"/>
      <w:marLeft w:val="0"/>
      <w:marRight w:val="0"/>
      <w:marTop w:val="0"/>
      <w:marBottom w:val="0"/>
      <w:divBdr>
        <w:top w:val="none" w:sz="0" w:space="0" w:color="auto"/>
        <w:left w:val="none" w:sz="0" w:space="0" w:color="auto"/>
        <w:bottom w:val="none" w:sz="0" w:space="0" w:color="auto"/>
        <w:right w:val="none" w:sz="0" w:space="0" w:color="auto"/>
      </w:divBdr>
      <w:divsChild>
        <w:div w:id="1040545642">
          <w:marLeft w:val="0"/>
          <w:marRight w:val="0"/>
          <w:marTop w:val="0"/>
          <w:marBottom w:val="0"/>
          <w:divBdr>
            <w:top w:val="none" w:sz="0" w:space="0" w:color="auto"/>
            <w:left w:val="none" w:sz="0" w:space="0" w:color="auto"/>
            <w:bottom w:val="none" w:sz="0" w:space="0" w:color="auto"/>
            <w:right w:val="none" w:sz="0" w:space="0" w:color="auto"/>
          </w:divBdr>
          <w:divsChild>
            <w:div w:id="202135126">
              <w:marLeft w:val="0"/>
              <w:marRight w:val="0"/>
              <w:marTop w:val="0"/>
              <w:marBottom w:val="0"/>
              <w:divBdr>
                <w:top w:val="none" w:sz="0" w:space="0" w:color="auto"/>
                <w:left w:val="none" w:sz="0" w:space="0" w:color="auto"/>
                <w:bottom w:val="none" w:sz="0" w:space="0" w:color="auto"/>
                <w:right w:val="none" w:sz="0" w:space="0" w:color="auto"/>
              </w:divBdr>
              <w:divsChild>
                <w:div w:id="623119713">
                  <w:marLeft w:val="0"/>
                  <w:marRight w:val="0"/>
                  <w:marTop w:val="0"/>
                  <w:marBottom w:val="0"/>
                  <w:divBdr>
                    <w:top w:val="none" w:sz="0" w:space="0" w:color="auto"/>
                    <w:left w:val="none" w:sz="0" w:space="0" w:color="auto"/>
                    <w:bottom w:val="none" w:sz="0" w:space="0" w:color="auto"/>
                    <w:right w:val="none" w:sz="0" w:space="0" w:color="auto"/>
                  </w:divBdr>
                </w:div>
                <w:div w:id="1009718625">
                  <w:marLeft w:val="60"/>
                  <w:marRight w:val="60"/>
                  <w:marTop w:val="0"/>
                  <w:marBottom w:val="0"/>
                  <w:divBdr>
                    <w:top w:val="none" w:sz="0" w:space="0" w:color="auto"/>
                    <w:left w:val="none" w:sz="0" w:space="0" w:color="auto"/>
                    <w:bottom w:val="none" w:sz="0" w:space="0" w:color="auto"/>
                    <w:right w:val="none" w:sz="0" w:space="0" w:color="auto"/>
                  </w:divBdr>
                </w:div>
                <w:div w:id="977149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0485824">
      <w:bodyDiv w:val="1"/>
      <w:marLeft w:val="0"/>
      <w:marRight w:val="0"/>
      <w:marTop w:val="0"/>
      <w:marBottom w:val="0"/>
      <w:divBdr>
        <w:top w:val="none" w:sz="0" w:space="0" w:color="auto"/>
        <w:left w:val="none" w:sz="0" w:space="0" w:color="auto"/>
        <w:bottom w:val="none" w:sz="0" w:space="0" w:color="auto"/>
        <w:right w:val="none" w:sz="0" w:space="0" w:color="auto"/>
      </w:divBdr>
      <w:divsChild>
        <w:div w:id="1162357208">
          <w:marLeft w:val="547"/>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funcionpublica.gov.co/eva/gestornormativo/norma.php?i=14224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3853</Words>
  <Characters>21194</Characters>
  <Application>Microsoft Office Word</Application>
  <DocSecurity>0</DocSecurity>
  <Lines>176</Lines>
  <Paragraphs>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Romero Diaz</dc:creator>
  <dc:description/>
  <cp:lastModifiedBy>Nayive Carrasco Patino</cp:lastModifiedBy>
  <cp:revision>2</cp:revision>
  <dcterms:created xsi:type="dcterms:W3CDTF">2024-07-03T02:10:00Z</dcterms:created>
  <dcterms:modified xsi:type="dcterms:W3CDTF">2024-07-03T02:10:00Z</dcterms:modified>
</cp:coreProperties>
</file>